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AA3A8" w14:textId="77777777" w:rsidR="00504E53" w:rsidRDefault="00504E53" w:rsidP="00504E53">
      <w:pPr>
        <w:spacing w:before="600" w:after="0" w:line="360" w:lineRule="auto"/>
        <w:contextualSpacing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176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Рекомендации педагогам по проведению профилактической работы</w:t>
      </w:r>
    </w:p>
    <w:p w14:paraId="5E8B785D" w14:textId="77777777" w:rsidR="00504E53" w:rsidRPr="00F96CBA" w:rsidRDefault="00504E53" w:rsidP="00504E53">
      <w:pPr>
        <w:spacing w:before="600" w:after="0" w:line="360" w:lineRule="auto"/>
        <w:ind w:left="-709" w:firstLine="73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Выделить из обшей массы аудитории (группы) именно тех,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кто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потенциально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 большей степени склонен к формированию зависимости                от наркотиков, </w:t>
      </w:r>
      <w:proofErr w:type="gramStart"/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конечно</w:t>
      </w:r>
      <w:proofErr w:type="gramEnd"/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трудно. Непросто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выявить и начинающего наркопотребителя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. Поэтому в антинаркотической работе следует уделять внимание всем без исключения молодым людям. </w:t>
      </w:r>
    </w:p>
    <w:p w14:paraId="27955EB4" w14:textId="77777777" w:rsidR="00504E53" w:rsidRDefault="00504E53" w:rsidP="00504E53">
      <w:pPr>
        <w:spacing w:before="600" w:after="0" w:line="360" w:lineRule="auto"/>
        <w:ind w:left="-709" w:firstLine="73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Л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учший способ узнать особенности поведения подростка —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это основательно изучить его характер и наклонности, а не превращаться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 беспокойного детектива, который своими действиями может оттолкнуть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подростка от себя.</w:t>
      </w:r>
    </w:p>
    <w:p w14:paraId="285EEDD8" w14:textId="77777777" w:rsidR="00504E53" w:rsidRPr="00086544" w:rsidRDefault="00504E53" w:rsidP="00504E53">
      <w:pPr>
        <w:spacing w:after="0" w:line="360" w:lineRule="auto"/>
        <w:ind w:left="-709" w:firstLine="73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Если вы решили обсудить проблему наркомании в той или иной аудитории,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необходимо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: </w:t>
      </w:r>
    </w:p>
    <w:p w14:paraId="5CD731C3" w14:textId="77777777" w:rsidR="00504E53" w:rsidRPr="003C36B6" w:rsidRDefault="00504E53" w:rsidP="00504E53">
      <w:pPr>
        <w:pStyle w:val="a3"/>
        <w:spacing w:after="0" w:line="360" w:lineRule="auto"/>
        <w:ind w:left="-709" w:firstLine="739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C36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как можно лучше изучить специфику проблемы, связанной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</w:t>
      </w:r>
      <w:r w:rsidRPr="003C36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 наркотиками (социальные, медицинские, психологические, юридические аспекты), использовать при изучении проверенный материал, прошедший экспертизу экспертами при краевой (муниципальной) антинаркотической комиссии, либо одобренный министерством просвещения РФ, министерством образования, науки и молодежной политики Краснодарского края; </w:t>
      </w:r>
    </w:p>
    <w:p w14:paraId="469CEBD1" w14:textId="77777777" w:rsidR="00504E53" w:rsidRPr="003C36B6" w:rsidRDefault="00504E53" w:rsidP="00504E53">
      <w:pPr>
        <w:pStyle w:val="a3"/>
        <w:spacing w:before="600" w:after="0" w:line="360" w:lineRule="auto"/>
        <w:ind w:left="-709" w:firstLine="739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C36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привлечь к проведению мероприятия узкопрофильных специалистов – врача психиатра-нарколога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</w:t>
      </w:r>
      <w:r w:rsidRPr="003C36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либо специалиста системы здравоохранения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</w:t>
      </w:r>
      <w:r w:rsidRPr="003C36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имеющего должный уровень компетенции по вопросу профилактики наркомании, сотрудника ПДН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</w:t>
      </w:r>
      <w:r w:rsidRPr="003C36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либо отдела по контролю за оборотом наркотиков районного ОВД ГУ МВД по Краснодарскому краю, представителя муниципальной антинаркотической комиссии;</w:t>
      </w:r>
    </w:p>
    <w:p w14:paraId="0D0F92EF" w14:textId="77777777" w:rsidR="00504E53" w:rsidRPr="003C36B6" w:rsidRDefault="00504E53" w:rsidP="00504E53">
      <w:pPr>
        <w:pStyle w:val="a3"/>
        <w:spacing w:before="600" w:after="0" w:line="360" w:lineRule="auto"/>
        <w:ind w:left="-709" w:firstLine="739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C36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предварительно продумать наиболее рациональную форму обсуждения вопросов (то есть такую форму, которая наиболее подходит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</w:t>
      </w:r>
      <w:r w:rsidRPr="003C36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конкретной аудитории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для</w:t>
      </w:r>
      <w:r w:rsidRPr="003C36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восприятия и активного вовлечения всех присутствующих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</w:t>
      </w:r>
      <w:r w:rsidRPr="003C36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 обсуждение); </w:t>
      </w:r>
    </w:p>
    <w:p w14:paraId="2984A4C8" w14:textId="77777777" w:rsidR="00504E53" w:rsidRPr="003C36B6" w:rsidRDefault="00504E53" w:rsidP="00504E53">
      <w:pPr>
        <w:pStyle w:val="a3"/>
        <w:spacing w:before="600" w:after="0" w:line="360" w:lineRule="auto"/>
        <w:ind w:left="-709" w:firstLine="739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C36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чётко определить тему, круг и рамки вопросов, подлежащих обсуждению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</w:t>
      </w:r>
      <w:r w:rsidRPr="0039641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3C36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 учётом возрастных особенностей аудитории; </w:t>
      </w:r>
    </w:p>
    <w:p w14:paraId="60B24AD8" w14:textId="77777777" w:rsidR="00504E53" w:rsidRDefault="00504E53" w:rsidP="00504E53">
      <w:pPr>
        <w:pStyle w:val="a3"/>
        <w:spacing w:before="600" w:after="0" w:line="360" w:lineRule="auto"/>
        <w:ind w:left="-709" w:firstLine="739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C36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позаботиться о наглядных пособиях (фильмы, слайды, аудиозаписи, плакаты и т.д.), несущих дополнительную информацию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</w:t>
      </w:r>
      <w:r w:rsidRPr="003C36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прошедших экспертную оценку. </w:t>
      </w:r>
    </w:p>
    <w:p w14:paraId="32EE3788" w14:textId="77777777" w:rsidR="00504E53" w:rsidRDefault="00504E53" w:rsidP="00504E53">
      <w:pPr>
        <w:pStyle w:val="a3"/>
        <w:spacing w:before="600" w:after="0" w:line="360" w:lineRule="auto"/>
        <w:ind w:left="-709" w:firstLine="851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C36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 проведении профилактической антинаркотической работы категорически запрещается использование материалов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</w:t>
      </w:r>
      <w:r w:rsidRPr="003C36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самостоятельно подобранных из сети Инт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ернет и не прошедших экспертизу                                                    </w:t>
      </w:r>
      <w:r w:rsidRPr="003C36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 заинтересованных специалистов.</w:t>
      </w:r>
    </w:p>
    <w:p w14:paraId="77D527EE" w14:textId="77777777" w:rsidR="00504E53" w:rsidRDefault="00504E53" w:rsidP="00504E53">
      <w:pPr>
        <w:pStyle w:val="a3"/>
        <w:spacing w:before="600" w:after="0" w:line="36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Если вы взялись обсуждать проблему распространения наркомании, избегайте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необоснованных, неаргументированных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утверждений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 констатации. Это может привести к нежелательному эффекту отторжения слушателями всей последующей информации. </w:t>
      </w:r>
    </w:p>
    <w:p w14:paraId="4769D942" w14:textId="77777777" w:rsidR="00504E53" w:rsidRDefault="00504E53" w:rsidP="00504E53">
      <w:pPr>
        <w:pStyle w:val="a3"/>
        <w:spacing w:before="600" w:after="0" w:line="36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Не скрывайте своего отношения к наркомании, но делайте это ненавязчиво и к месту. Излишне частое подчеркивание вашего отношения может породить мнение о предвзятости и отпугнуть аудиторию. Откровенно выскажите слушателям все, что думаете по поводу злоупотребления наркотиками, но не пытайтесь резко высмеивать чужую точку зрения. Демонстрируйте уважение к мнению других. Полезно использовать бесспорные факты и логику, объясняющие, почему вы придерживаетесь именно такой позиции. При этом желательно избегать многочисленных ссылок на авторитеты. </w:t>
      </w:r>
    </w:p>
    <w:p w14:paraId="42C0A64C" w14:textId="77777777" w:rsidR="00504E53" w:rsidRDefault="00504E53" w:rsidP="00504E53">
      <w:pPr>
        <w:pStyle w:val="a3"/>
        <w:spacing w:before="600" w:after="0" w:line="36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Предоставьте возможность всем присутствующим активно участвовать в обсуждении, высказывать свое мнение и определиться, какие поступки они намерены совершать в той или иной ситуации. </w:t>
      </w:r>
    </w:p>
    <w:p w14:paraId="73B88BF8" w14:textId="77777777" w:rsidR="00504E53" w:rsidRDefault="00504E53" w:rsidP="00504E53">
      <w:pPr>
        <w:pStyle w:val="a3"/>
        <w:spacing w:before="600" w:after="0" w:line="36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Постарайтесь, чтобы в основу ваших доводов были положены два принципа: оригинальность и уместность.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аибольший эффект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    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 концентрации внимания аудитории и запоминании материала дают факты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из личной практики или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реальные события,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связанные с жизнью города, района,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края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. Если вы не можете ответить на вопросы </w:t>
      </w:r>
      <w:proofErr w:type="gramStart"/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слушателей,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не стесняйтесь признаться в этом. </w:t>
      </w:r>
    </w:p>
    <w:p w14:paraId="09DEAB8C" w14:textId="77777777" w:rsidR="00504E53" w:rsidRPr="008171D9" w:rsidRDefault="00504E53" w:rsidP="00504E53">
      <w:pPr>
        <w:pStyle w:val="a3"/>
        <w:spacing w:before="600" w:after="0" w:line="36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Профилакти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ческую работу,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связанную с пресечением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потребления наркотиков среди подростков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необходимо строить не только на основе воспитательного процесса, психотерапевтического или медицинского вмешательства. При ее организационном построении важно помнить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о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законодательной и правовой регламентации антинаркотической деятельности. Здесь следует использовать положения административного, уголовного и других законодательств, а также нормы международного права и р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екомендации мирового сообщества (нормативно-правовые акты по организации антинаркотического поля размещены </w:t>
      </w:r>
      <w:r w:rsidRPr="008171D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Администрация Краснодарского края </w:t>
      </w:r>
      <w:hyperlink r:id="rId4" w:tgtFrame="_blank" w:history="1">
        <w:r w:rsidRPr="008171D9">
          <w:rPr>
            <w:rFonts w:ascii="Times New Roman" w:eastAsia="Times New Roman" w:hAnsi="Times New Roman" w:cs="Times New Roman"/>
            <w:bCs/>
            <w:color w:val="222222"/>
            <w:sz w:val="28"/>
            <w:szCs w:val="28"/>
            <w:lang w:eastAsia="ru-RU"/>
          </w:rPr>
          <w:t>https://admkrai.krasnodar.ru/content/1152/</w:t>
        </w:r>
      </w:hyperlink>
      <w:r w:rsidRPr="008171D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, Государственный антинаркотический комитет </w:t>
      </w:r>
      <w:hyperlink r:id="rId5" w:history="1">
        <w:r w:rsidRPr="008171D9">
          <w:rPr>
            <w:rFonts w:ascii="Times New Roman" w:hAnsi="Times New Roman" w:cs="Times New Roman"/>
            <w:bCs/>
            <w:color w:val="222222"/>
            <w:sz w:val="28"/>
            <w:szCs w:val="28"/>
            <w:lang w:eastAsia="ru-RU"/>
          </w:rPr>
          <w:t>https://гак.мвд.рф/pravo/российское-законодательство</w:t>
        </w:r>
      </w:hyperlink>
      <w:r w:rsidRPr="008171D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или </w:t>
      </w:r>
      <w:hyperlink r:id="rId6" w:tgtFrame="_blank" w:history="1">
        <w:r w:rsidRPr="008171D9">
          <w:rPr>
            <w:rFonts w:ascii="Times New Roman" w:eastAsia="Times New Roman" w:hAnsi="Times New Roman" w:cs="Times New Roman"/>
            <w:bCs/>
            <w:color w:val="222222"/>
            <w:sz w:val="28"/>
            <w:szCs w:val="28"/>
            <w:lang w:eastAsia="ru-RU"/>
          </w:rPr>
          <w:t>https://xn--80afw.xn--b1aew.xn</w:t>
        </w:r>
      </w:hyperlink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).</w:t>
      </w:r>
    </w:p>
    <w:p w14:paraId="3E67D67A" w14:textId="77777777" w:rsidR="00504E53" w:rsidRDefault="00504E53" w:rsidP="00504E53">
      <w:pPr>
        <w:pStyle w:val="a3"/>
        <w:spacing w:before="600" w:after="0" w:line="36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ся профилактическая работа с подростком должна быть тщательно продуманной, осторожной, максимально тактичной. </w:t>
      </w:r>
    </w:p>
    <w:p w14:paraId="309BDE23" w14:textId="77777777" w:rsidR="00504E53" w:rsidRDefault="00504E53" w:rsidP="00504E53">
      <w:pPr>
        <w:pStyle w:val="a3"/>
        <w:spacing w:before="600" w:after="0" w:line="36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Для более успешной работы с несовершеннолетним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 потребителями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наркотиков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необходимо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связаться с его родителями, указав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       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им на желательность консультации с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врачом-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наркологом (можно в таких случаях воспользоваться и анонимной помощью). Следует </w:t>
      </w:r>
      <w:proofErr w:type="gramStart"/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учитывать,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что необоснованные или н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етактичные утверждения педагога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 немедицинском употреблении наркотиков подростком могут стать поводом к конфликту между учебным заведением и семьей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обучающегося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 вплоть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до судебного разбирательства. Кроме того, такие утверждения могут оказаться и серьезным психотравмирующим фактором, привести к нервному срыву у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подростка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. </w:t>
      </w:r>
    </w:p>
    <w:p w14:paraId="66A5BA0E" w14:textId="77777777" w:rsidR="00504E53" w:rsidRDefault="00504E53" w:rsidP="00504E53">
      <w:pPr>
        <w:pStyle w:val="a3"/>
        <w:spacing w:before="600" w:after="0" w:line="36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Профилактическая антинаркотическая работа среди несовершеннолетних всегда должна базироваться на нескольких принципах: </w:t>
      </w:r>
    </w:p>
    <w:p w14:paraId="7EDFA704" w14:textId="77777777" w:rsidR="00504E53" w:rsidRPr="00EA53EA" w:rsidRDefault="00504E53" w:rsidP="00504E53">
      <w:pPr>
        <w:pStyle w:val="a3"/>
        <w:spacing w:before="600" w:after="0" w:line="36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A53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- профилактическая антинаркотическая работа должна проводиться системно, </w:t>
      </w:r>
      <w:proofErr w:type="spellStart"/>
      <w:r w:rsidRPr="00EA53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планово</w:t>
      </w:r>
      <w:proofErr w:type="spellEnd"/>
      <w:r w:rsidRPr="00EA53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 в постоянном режиме;</w:t>
      </w:r>
    </w:p>
    <w:p w14:paraId="65172EED" w14:textId="4EB1E9D9" w:rsidR="00504E53" w:rsidRDefault="00504E53" w:rsidP="00504E53">
      <w:pPr>
        <w:pStyle w:val="a3"/>
        <w:spacing w:before="600" w:after="0" w:line="36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- </w:t>
      </w:r>
      <w:r w:rsidRPr="00EA53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информация о наркотиках и наркопреступности, предоставленная без учёта подростковой психологии, может спровоцировать нежелательный интерес у слушателей, и даже побудить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A53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их к употреблению наркотических средств.</w:t>
      </w:r>
    </w:p>
    <w:p w14:paraId="45701848" w14:textId="77777777" w:rsidR="00504E53" w:rsidRDefault="00504E53" w:rsidP="00504E53">
      <w:pPr>
        <w:pStyle w:val="a3"/>
        <w:spacing w:before="600" w:after="0" w:line="360" w:lineRule="auto"/>
        <w:ind w:left="-709" w:firstLine="851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7860685B" w14:textId="77777777" w:rsidR="00504E53" w:rsidRDefault="00504E53" w:rsidP="00504E53">
      <w:pPr>
        <w:pStyle w:val="a3"/>
        <w:spacing w:before="600" w:after="0" w:line="360" w:lineRule="auto"/>
        <w:ind w:left="-709" w:firstLine="851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07731521" w14:textId="77777777" w:rsidR="00247EF4" w:rsidRDefault="00247EF4" w:rsidP="00504E53">
      <w:pPr>
        <w:ind w:left="-709"/>
      </w:pPr>
    </w:p>
    <w:sectPr w:rsidR="00247EF4" w:rsidSect="00504E53">
      <w:pgSz w:w="11906" w:h="16838"/>
      <w:pgMar w:top="426" w:right="850" w:bottom="1134" w:left="1701" w:header="708" w:footer="708" w:gutter="0"/>
      <w:pgBorders w:offsetFrom="page">
        <w:top w:val="pencils" w:sz="19" w:space="24" w:color="auto"/>
        <w:left w:val="pencils" w:sz="19" w:space="24" w:color="auto"/>
        <w:bottom w:val="pencils" w:sz="19" w:space="24" w:color="auto"/>
        <w:right w:val="pencil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5A"/>
    <w:rsid w:val="00247EF4"/>
    <w:rsid w:val="00504E53"/>
    <w:rsid w:val="00FD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2B36"/>
  <w15:chartTrackingRefBased/>
  <w15:docId w15:val="{BBA4E5C7-787F-4AF3-9614-01672831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E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fw.xn--b1aew.xn--p1ai/pravo/%D1%80%D0%BE%D1%81%D1%81%D0%B8%D0%B9%D1%81%D0%BA%D0%BE%D0%B5-%D0%B7%D0%B0%D0%BA%D0%BE%D0%BD%D0%BE%D0%B4%D0%B0%D1%82%D0%B5%D0%BB%D1%8C%D1%81%D1%82%D0%B2%D0%BE" TargetMode="External"/><Relationship Id="rId5" Type="http://schemas.openxmlformats.org/officeDocument/2006/relationships/hyperlink" Target="https://&#1075;&#1072;&#1082;.&#1084;&#1074;&#1076;.&#1088;&#1092;/pravo/&#1088;&#1086;&#1089;&#1089;&#1080;&#1081;&#1089;&#1082;&#1086;&#1077;-&#1079;&#1072;&#1082;&#1086;&#1085;&#1086;&#1076;&#1072;&#1090;&#1077;&#1083;&#1100;&#1089;&#1090;&#1074;&#1086;" TargetMode="External"/><Relationship Id="rId4" Type="http://schemas.openxmlformats.org/officeDocument/2006/relationships/hyperlink" Target="https://admkrai.krasnodar.ru/content/11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2020-10-10T11:28:00Z</dcterms:created>
  <dcterms:modified xsi:type="dcterms:W3CDTF">2020-10-10T11:33:00Z</dcterms:modified>
</cp:coreProperties>
</file>