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B" w:rsidRDefault="00FF1DC9" w:rsidP="00CB65B7">
      <w:pPr>
        <w:pStyle w:val="1"/>
        <w:spacing w:before="161" w:after="161" w:line="336" w:lineRule="atLeast"/>
        <w:jc w:val="center"/>
        <w:textAlignment w:val="baseline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>
            <wp:extent cx="5227409" cy="1679944"/>
            <wp:effectExtent l="19050" t="0" r="0" b="0"/>
            <wp:docPr id="1" name="Рисунок 1" descr="C:\Users\FOX\Desktop\Картинки\20 Картинки о школе\shkola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Картинки\20 Картинки о школе\shkola26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09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B7" w:rsidRPr="00D85324" w:rsidRDefault="00CB65B7" w:rsidP="009957C1">
      <w:pPr>
        <w:pStyle w:val="1"/>
        <w:spacing w:before="0" w:line="240" w:lineRule="auto"/>
        <w:ind w:hanging="426"/>
        <w:jc w:val="center"/>
        <w:textAlignment w:val="baseline"/>
        <w:rPr>
          <w:rFonts w:ascii="Times New Roman" w:hAnsi="Times New Roman" w:cs="Times New Roman"/>
          <w:color w:val="0070C0"/>
          <w:sz w:val="72"/>
          <w:szCs w:val="72"/>
        </w:rPr>
      </w:pPr>
      <w:r w:rsidRPr="00D85324">
        <w:rPr>
          <w:rFonts w:ascii="Times New Roman" w:hAnsi="Times New Roman" w:cs="Times New Roman"/>
          <w:color w:val="0070C0"/>
          <w:sz w:val="72"/>
          <w:szCs w:val="72"/>
        </w:rPr>
        <w:t>Расписание итогового сочинения 202</w:t>
      </w:r>
      <w:r w:rsidR="00693EB6">
        <w:rPr>
          <w:rFonts w:ascii="Times New Roman" w:hAnsi="Times New Roman" w:cs="Times New Roman"/>
          <w:color w:val="0070C0"/>
          <w:sz w:val="72"/>
          <w:szCs w:val="72"/>
        </w:rPr>
        <w:t>2</w:t>
      </w:r>
      <w:r w:rsidRPr="00D85324">
        <w:rPr>
          <w:rFonts w:ascii="Times New Roman" w:hAnsi="Times New Roman" w:cs="Times New Roman"/>
          <w:color w:val="0070C0"/>
          <w:sz w:val="72"/>
          <w:szCs w:val="72"/>
        </w:rPr>
        <w:t>-202</w:t>
      </w:r>
      <w:r w:rsidR="00693EB6">
        <w:rPr>
          <w:rFonts w:ascii="Times New Roman" w:hAnsi="Times New Roman" w:cs="Times New Roman"/>
          <w:color w:val="0070C0"/>
          <w:sz w:val="72"/>
          <w:szCs w:val="72"/>
        </w:rPr>
        <w:t>3</w:t>
      </w:r>
    </w:p>
    <w:p w:rsidR="00F95F02" w:rsidRPr="00F95F02" w:rsidRDefault="00693EB6" w:rsidP="0099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</w:rPr>
        <w:t>7</w:t>
      </w:r>
      <w:r w:rsidR="00F95F02" w:rsidRPr="00A756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</w:rPr>
        <w:t>2</w:t>
      </w:r>
      <w:r w:rsidR="00F95F02" w:rsidRPr="00A756E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96"/>
          <w:szCs w:val="96"/>
        </w:rPr>
        <w:t xml:space="preserve"> года</w:t>
      </w:r>
    </w:p>
    <w:p w:rsidR="00F95F02" w:rsidRPr="00F95F02" w:rsidRDefault="00F95F02" w:rsidP="0099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96"/>
          <w:szCs w:val="96"/>
        </w:rPr>
      </w:pPr>
      <w:r w:rsidRPr="00F95F02">
        <w:rPr>
          <w:rFonts w:ascii="Times New Roman" w:eastAsia="Times New Roman" w:hAnsi="Times New Roman" w:cs="Times New Roman"/>
          <w:color w:val="17365D" w:themeColor="text2" w:themeShade="BF"/>
          <w:sz w:val="96"/>
          <w:szCs w:val="96"/>
        </w:rPr>
        <w:t>2 февраля 2022 года</w:t>
      </w:r>
    </w:p>
    <w:p w:rsidR="009957C1" w:rsidRPr="009957C1" w:rsidRDefault="00F95F02" w:rsidP="009957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9957C1">
        <w:rPr>
          <w:rFonts w:ascii="Times New Roman" w:eastAsia="Times New Roman" w:hAnsi="Times New Roman" w:cs="Times New Roman"/>
          <w:color w:val="17365D" w:themeColor="text2" w:themeShade="BF"/>
          <w:sz w:val="96"/>
          <w:szCs w:val="96"/>
        </w:rPr>
        <w:t>4 мая 2022 года</w:t>
      </w:r>
    </w:p>
    <w:p w:rsidR="004649E2" w:rsidRDefault="009957C1" w:rsidP="009957C1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9957C1">
        <w:rPr>
          <w:rStyle w:val="a3"/>
          <w:rFonts w:ascii="Times New Roman" w:hAnsi="Times New Roman" w:cs="Times New Roman"/>
          <w:color w:val="000000"/>
          <w:sz w:val="40"/>
          <w:szCs w:val="40"/>
        </w:rPr>
        <w:t>На сайте ФГБНУ «ФИПИ» опубликованы следующие материалы:</w:t>
      </w:r>
      <w:r w:rsidRPr="009957C1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6" w:tgtFrame="_blank" w:history="1">
        <w:r w:rsidRPr="009957C1">
          <w:rPr>
            <w:rStyle w:val="a6"/>
            <w:rFonts w:ascii="Times New Roman" w:hAnsi="Times New Roman" w:cs="Times New Roman"/>
            <w:color w:val="1E7B84"/>
            <w:sz w:val="40"/>
            <w:szCs w:val="40"/>
            <w:bdr w:val="none" w:sz="0" w:space="0" w:color="auto" w:frame="1"/>
          </w:rPr>
          <w:t>1. Структура закрытого банка тем итогового сочинения</w:t>
        </w:r>
      </w:hyperlink>
      <w:r w:rsidRPr="009957C1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7" w:tgtFrame="_blank" w:history="1">
        <w:r w:rsidRPr="009957C1">
          <w:rPr>
            <w:rStyle w:val="a6"/>
            <w:rFonts w:ascii="Times New Roman" w:hAnsi="Times New Roman" w:cs="Times New Roman"/>
            <w:color w:val="1E7B84"/>
            <w:sz w:val="40"/>
            <w:szCs w:val="40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  <w:r w:rsidRPr="009957C1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8" w:tgtFrame="_blank" w:history="1">
        <w:r w:rsidRPr="009957C1">
          <w:rPr>
            <w:rStyle w:val="a6"/>
            <w:rFonts w:ascii="Times New Roman" w:hAnsi="Times New Roman" w:cs="Times New Roman"/>
            <w:color w:val="1E7B84"/>
            <w:sz w:val="40"/>
            <w:szCs w:val="40"/>
            <w:bdr w:val="none" w:sz="0" w:space="0" w:color="auto" w:frame="1"/>
          </w:rPr>
          <w:t>3. Образец комплекта тем 2022/23 учебного года</w:t>
        </w:r>
      </w:hyperlink>
      <w:r w:rsidRPr="009957C1">
        <w:rPr>
          <w:rFonts w:ascii="Times New Roman" w:hAnsi="Times New Roman" w:cs="Times New Roman"/>
          <w:color w:val="000000"/>
          <w:sz w:val="40"/>
          <w:szCs w:val="40"/>
        </w:rPr>
        <w:br/>
      </w:r>
      <w:hyperlink r:id="rId9" w:tgtFrame="_blank" w:history="1">
        <w:r w:rsidRPr="009957C1">
          <w:rPr>
            <w:rStyle w:val="a6"/>
            <w:rFonts w:ascii="Times New Roman" w:hAnsi="Times New Roman" w:cs="Times New Roman"/>
            <w:color w:val="1E7B84"/>
            <w:sz w:val="40"/>
            <w:szCs w:val="40"/>
            <w:bdr w:val="none" w:sz="0" w:space="0" w:color="auto" w:frame="1"/>
          </w:rPr>
          <w:t>4. Критерии оценивания итогового сочинения (изложения)</w:t>
        </w:r>
      </w:hyperlink>
    </w:p>
    <w:p w:rsidR="00631AD7" w:rsidRPr="00F27493" w:rsidRDefault="00631AD7" w:rsidP="00E15BD9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proofErr w:type="spellStart"/>
      <w:r w:rsidRPr="00631A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Минпросвещения</w:t>
      </w:r>
      <w:proofErr w:type="spellEnd"/>
      <w:r w:rsidRPr="00631A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России, </w:t>
      </w:r>
      <w:proofErr w:type="spellStart"/>
      <w:r w:rsidRPr="00631A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Рособрнадзор</w:t>
      </w:r>
      <w:proofErr w:type="spellEnd"/>
      <w:r w:rsidRPr="00631A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631A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631AD7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В 2022/23 учебном году комплекты тем итогового сочинения будут собираться только из тех тем, которые использовались в </w:t>
      </w:r>
      <w:r w:rsidRPr="00F27493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lastRenderedPageBreak/>
        <w:t>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315DAD" w:rsidRPr="00104B89" w:rsidRDefault="00315DAD" w:rsidP="00F2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2749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 </w:t>
      </w:r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Во исполнение поручения </w:t>
      </w:r>
      <w:proofErr w:type="spellStart"/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Рособрнадзора</w:t>
      </w:r>
      <w:proofErr w:type="spellEnd"/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сформирован Открытый банк текстов для итогового изложения, размещенн</w:t>
      </w:r>
      <w:r w:rsidR="004626BD" w:rsidRPr="00104B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ый </w:t>
      </w:r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10" w:tgtFrame="_blank" w:history="1">
        <w:r w:rsidRPr="00104B89">
          <w:rPr>
            <w:rFonts w:ascii="Times New Roman" w:eastAsia="Times New Roman" w:hAnsi="Times New Roman" w:cs="Times New Roman"/>
            <w:b/>
            <w:bCs/>
            <w:color w:val="1E7B84"/>
            <w:sz w:val="36"/>
            <w:szCs w:val="36"/>
          </w:rPr>
          <w:t xml:space="preserve">Письмо </w:t>
        </w:r>
        <w:proofErr w:type="spellStart"/>
        <w:r w:rsidRPr="00104B89">
          <w:rPr>
            <w:rFonts w:ascii="Times New Roman" w:eastAsia="Times New Roman" w:hAnsi="Times New Roman" w:cs="Times New Roman"/>
            <w:b/>
            <w:bCs/>
            <w:color w:val="1E7B84"/>
            <w:sz w:val="36"/>
            <w:szCs w:val="36"/>
          </w:rPr>
          <w:t>Рособрнадзора</w:t>
        </w:r>
        <w:proofErr w:type="spellEnd"/>
        <w:r w:rsidRPr="00104B89">
          <w:rPr>
            <w:rFonts w:ascii="Times New Roman" w:eastAsia="Times New Roman" w:hAnsi="Times New Roman" w:cs="Times New Roman"/>
            <w:b/>
            <w:bCs/>
            <w:color w:val="1E7B84"/>
            <w:sz w:val="36"/>
            <w:szCs w:val="36"/>
          </w:rPr>
          <w:t xml:space="preserve"> №04-411 от 28.10.2022 о направлении методических документов, рекомендуемых при организации и проведении итогового сочинения (изложения) в 2022/23 учебном году</w:t>
        </w:r>
      </w:hyperlink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11" w:tgtFrame="_blank" w:history="1">
        <w:r w:rsidRPr="00104B89">
          <w:rPr>
            <w:rFonts w:ascii="Times New Roman" w:eastAsia="Times New Roman" w:hAnsi="Times New Roman" w:cs="Times New Roman"/>
            <w:color w:val="1E7B84"/>
            <w:sz w:val="36"/>
            <w:szCs w:val="36"/>
          </w:rPr>
          <w:t>1. Методические рекомендации по организации и проведению итогового сочинения (изложения) в 2022/23 учебном году</w:t>
        </w:r>
      </w:hyperlink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12" w:tgtFrame="_blank" w:history="1">
        <w:r w:rsidRPr="00104B89">
          <w:rPr>
            <w:rFonts w:ascii="Times New Roman" w:eastAsia="Times New Roman" w:hAnsi="Times New Roman" w:cs="Times New Roman"/>
            <w:color w:val="1E7B84"/>
            <w:sz w:val="36"/>
            <w:szCs w:val="36"/>
          </w:rPr>
          <w:t>2. Правила заполнения бланков итогового сочинения (изложения) в 2022/23 учебном году</w:t>
        </w:r>
      </w:hyperlink>
      <w:r w:rsidRPr="00104B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13" w:tgtFrame="_blank" w:history="1">
        <w:r w:rsidRPr="00104B89">
          <w:rPr>
            <w:rFonts w:ascii="Times New Roman" w:eastAsia="Times New Roman" w:hAnsi="Times New Roman" w:cs="Times New Roman"/>
            <w:color w:val="1E7B84"/>
            <w:sz w:val="36"/>
            <w:szCs w:val="36"/>
          </w:rPr>
          <w:t>3. Сборник отчетных форм для проведения итогового сочинения (изложения) в 2022/23 учебном году</w:t>
        </w:r>
      </w:hyperlink>
    </w:p>
    <w:p w:rsidR="00AC678E" w:rsidRPr="00AC678E" w:rsidRDefault="00315DAD" w:rsidP="00AC678E">
      <w:pPr>
        <w:pStyle w:val="a7"/>
        <w:shd w:val="clear" w:color="auto" w:fill="FFFFFF"/>
        <w:spacing w:before="0" w:beforeAutospacing="0" w:after="0" w:afterAutospacing="0"/>
        <w:ind w:left="167"/>
        <w:rPr>
          <w:color w:val="222222"/>
          <w:sz w:val="36"/>
          <w:szCs w:val="36"/>
        </w:rPr>
      </w:pPr>
      <w:r w:rsidRPr="00104B89">
        <w:rPr>
          <w:color w:val="000000"/>
          <w:sz w:val="36"/>
          <w:szCs w:val="36"/>
        </w:rPr>
        <w:br/>
      </w:r>
      <w:proofErr w:type="gramStart"/>
      <w:r w:rsidRPr="00104B89">
        <w:rPr>
          <w:color w:val="000000"/>
          <w:sz w:val="36"/>
          <w:szCs w:val="36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 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104B89">
        <w:rPr>
          <w:color w:val="000000"/>
          <w:sz w:val="36"/>
          <w:szCs w:val="36"/>
        </w:rPr>
        <w:t>Минпросвещения</w:t>
      </w:r>
      <w:proofErr w:type="spellEnd"/>
      <w:r w:rsidRPr="00104B89">
        <w:rPr>
          <w:color w:val="000000"/>
          <w:sz w:val="36"/>
          <w:szCs w:val="36"/>
        </w:rPr>
        <w:t xml:space="preserve"> России и </w:t>
      </w:r>
      <w:proofErr w:type="spellStart"/>
      <w:r w:rsidRPr="00104B89">
        <w:rPr>
          <w:color w:val="000000"/>
          <w:sz w:val="36"/>
          <w:szCs w:val="36"/>
        </w:rPr>
        <w:t>Рособрнадзора</w:t>
      </w:r>
      <w:proofErr w:type="spellEnd"/>
      <w:r w:rsidRPr="00104B89">
        <w:rPr>
          <w:color w:val="000000"/>
          <w:sz w:val="36"/>
          <w:szCs w:val="36"/>
        </w:rPr>
        <w:t xml:space="preserve"> от 07.11.2018 № 190/1512</w:t>
      </w:r>
      <w:r w:rsidRPr="00104B89">
        <w:rPr>
          <w:color w:val="000000"/>
          <w:sz w:val="36"/>
          <w:szCs w:val="36"/>
        </w:rPr>
        <w:br/>
      </w:r>
      <w:r w:rsidRPr="00104B89">
        <w:rPr>
          <w:color w:val="000000"/>
          <w:sz w:val="36"/>
          <w:szCs w:val="36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Pr="00104B89">
        <w:rPr>
          <w:color w:val="000000"/>
          <w:sz w:val="36"/>
          <w:szCs w:val="36"/>
        </w:rPr>
        <w:t xml:space="preserve"> </w:t>
      </w:r>
      <w:proofErr w:type="gramStart"/>
      <w:r w:rsidRPr="00104B89">
        <w:rPr>
          <w:color w:val="000000"/>
          <w:sz w:val="36"/>
          <w:szCs w:val="36"/>
        </w:rPr>
        <w:t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  <w:r w:rsidRPr="00104B89">
        <w:rPr>
          <w:color w:val="000000"/>
          <w:sz w:val="36"/>
          <w:szCs w:val="36"/>
        </w:rPr>
        <w:br/>
      </w:r>
      <w:r w:rsidRPr="00104B89">
        <w:rPr>
          <w:color w:val="000000"/>
          <w:sz w:val="36"/>
          <w:szCs w:val="36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104B89">
        <w:rPr>
          <w:color w:val="000000"/>
          <w:sz w:val="36"/>
          <w:szCs w:val="36"/>
        </w:rPr>
        <w:br/>
      </w:r>
      <w:r w:rsidRPr="00104B89">
        <w:rPr>
          <w:color w:val="000000"/>
          <w:sz w:val="36"/>
          <w:szCs w:val="36"/>
        </w:rPr>
        <w:br/>
      </w:r>
      <w:proofErr w:type="gramStart"/>
      <w:r w:rsidRPr="00104B89">
        <w:rPr>
          <w:color w:val="000000"/>
          <w:sz w:val="36"/>
          <w:szCs w:val="36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Pr="00104B89">
        <w:rPr>
          <w:color w:val="000000"/>
          <w:sz w:val="36"/>
          <w:szCs w:val="36"/>
        </w:rPr>
        <w:t xml:space="preserve"> </w:t>
      </w:r>
      <w:proofErr w:type="gramStart"/>
      <w:r w:rsidRPr="00104B89">
        <w:rPr>
          <w:color w:val="000000"/>
          <w:sz w:val="36"/>
          <w:szCs w:val="36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 w:rsidRPr="00104B89">
        <w:rPr>
          <w:color w:val="000000"/>
          <w:sz w:val="36"/>
          <w:szCs w:val="36"/>
        </w:rPr>
        <w:br/>
      </w:r>
      <w:r w:rsidRPr="00104B89">
        <w:rPr>
          <w:color w:val="000000"/>
          <w:sz w:val="36"/>
          <w:szCs w:val="36"/>
        </w:rPr>
        <w:br/>
        <w:t xml:space="preserve">Итоговое сочинение, с одной стороны, носит </w:t>
      </w:r>
      <w:proofErr w:type="spellStart"/>
      <w:r w:rsidRPr="00104B89">
        <w:rPr>
          <w:color w:val="000000"/>
          <w:sz w:val="36"/>
          <w:szCs w:val="36"/>
        </w:rPr>
        <w:t>надпредметный</w:t>
      </w:r>
      <w:proofErr w:type="spellEnd"/>
      <w:r w:rsidRPr="00104B89">
        <w:rPr>
          <w:color w:val="000000"/>
          <w:sz w:val="36"/>
          <w:szCs w:val="36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104B89">
        <w:rPr>
          <w:color w:val="000000"/>
          <w:sz w:val="36"/>
          <w:szCs w:val="36"/>
        </w:rPr>
        <w:t>литературоцентричным</w:t>
      </w:r>
      <w:proofErr w:type="spellEnd"/>
      <w:r w:rsidRPr="00104B89">
        <w:rPr>
          <w:color w:val="000000"/>
          <w:sz w:val="36"/>
          <w:szCs w:val="36"/>
        </w:rPr>
        <w:t>, так как содержит требование построения аргументации с обязательной опорой на литературный материал.</w:t>
      </w:r>
      <w:r w:rsidRPr="00104B89">
        <w:rPr>
          <w:color w:val="000000"/>
          <w:sz w:val="36"/>
          <w:szCs w:val="36"/>
        </w:rPr>
        <w:br/>
      </w:r>
      <w:r w:rsidR="00AC678E" w:rsidRPr="00AC678E">
        <w:rPr>
          <w:color w:val="222222"/>
          <w:sz w:val="36"/>
          <w:szCs w:val="36"/>
        </w:rPr>
        <w:t>На сайте ФИПИ перед началом учебного года </w:t>
      </w:r>
      <w:hyperlink r:id="rId14" w:tgtFrame="_blank" w:history="1">
        <w:r w:rsidR="00AC678E" w:rsidRPr="00AC678E">
          <w:rPr>
            <w:rStyle w:val="a6"/>
            <w:color w:val="428BCA"/>
            <w:sz w:val="36"/>
            <w:szCs w:val="36"/>
            <w:bdr w:val="none" w:sz="0" w:space="0" w:color="auto" w:frame="1"/>
          </w:rPr>
          <w:t>были размещены</w:t>
        </w:r>
      </w:hyperlink>
      <w:r w:rsidR="00AC678E" w:rsidRPr="00AC678E">
        <w:rPr>
          <w:color w:val="222222"/>
          <w:sz w:val="36"/>
          <w:szCs w:val="36"/>
        </w:rPr>
        <w:t> разделы и подразделы банка тем итогового сочинения.</w:t>
      </w:r>
    </w:p>
    <w:p w:rsidR="00AC678E" w:rsidRPr="00AC678E" w:rsidRDefault="00AC678E" w:rsidP="00AC678E">
      <w:pPr>
        <w:pStyle w:val="a7"/>
        <w:shd w:val="clear" w:color="auto" w:fill="FFFFFF"/>
        <w:spacing w:before="0" w:beforeAutospacing="0" w:after="0" w:afterAutospacing="0"/>
        <w:ind w:left="167"/>
        <w:rPr>
          <w:color w:val="222222"/>
          <w:sz w:val="36"/>
          <w:szCs w:val="36"/>
        </w:rPr>
      </w:pPr>
      <w:r w:rsidRPr="00AC678E">
        <w:rPr>
          <w:rStyle w:val="a3"/>
          <w:color w:val="222222"/>
          <w:sz w:val="36"/>
          <w:szCs w:val="36"/>
          <w:bdr w:val="none" w:sz="0" w:space="0" w:color="auto" w:frame="1"/>
        </w:rPr>
        <w:t>1. Духовно-нравственные ориентиры в жизни человека</w:t>
      </w:r>
      <w:r w:rsidRPr="00AC678E">
        <w:rPr>
          <w:color w:val="222222"/>
          <w:sz w:val="36"/>
          <w:szCs w:val="36"/>
        </w:rPr>
        <w:br/>
        <w:t>1.1. Внутренний мир человека и его личностные качества;</w:t>
      </w:r>
      <w:r w:rsidRPr="00AC678E">
        <w:rPr>
          <w:color w:val="222222"/>
          <w:sz w:val="36"/>
          <w:szCs w:val="36"/>
        </w:rPr>
        <w:br/>
        <w:t>1.2. Отношение человека к другому человеку (окружению), нравственные идеалы и выбор между добром и злом;</w:t>
      </w:r>
      <w:r w:rsidRPr="00AC678E">
        <w:rPr>
          <w:color w:val="222222"/>
          <w:sz w:val="36"/>
          <w:szCs w:val="36"/>
        </w:rPr>
        <w:br/>
        <w:t>1.3. Познание человеком самого себя;</w:t>
      </w:r>
      <w:r w:rsidRPr="00AC678E">
        <w:rPr>
          <w:color w:val="222222"/>
          <w:sz w:val="36"/>
          <w:szCs w:val="36"/>
        </w:rPr>
        <w:br/>
        <w:t>1.4. Свобода человека и ее ограничения.</w:t>
      </w:r>
    </w:p>
    <w:p w:rsidR="00AC678E" w:rsidRPr="00AC678E" w:rsidRDefault="00AC678E" w:rsidP="00AC678E">
      <w:pPr>
        <w:pStyle w:val="a7"/>
        <w:shd w:val="clear" w:color="auto" w:fill="FFFFFF"/>
        <w:spacing w:before="0" w:beforeAutospacing="0" w:after="0" w:afterAutospacing="0"/>
        <w:ind w:left="167"/>
        <w:rPr>
          <w:color w:val="222222"/>
          <w:sz w:val="36"/>
          <w:szCs w:val="36"/>
        </w:rPr>
      </w:pPr>
      <w:r w:rsidRPr="00AC678E">
        <w:rPr>
          <w:rStyle w:val="a3"/>
          <w:color w:val="222222"/>
          <w:sz w:val="36"/>
          <w:szCs w:val="36"/>
          <w:bdr w:val="none" w:sz="0" w:space="0" w:color="auto" w:frame="1"/>
        </w:rPr>
        <w:t>2. Семья, общество, Отечество в жизни человека</w:t>
      </w:r>
      <w:r w:rsidRPr="00AC678E">
        <w:rPr>
          <w:color w:val="222222"/>
          <w:sz w:val="36"/>
          <w:szCs w:val="36"/>
        </w:rPr>
        <w:br/>
        <w:t>2.1. Семья, род; семейные ценности и традиции;</w:t>
      </w:r>
      <w:r w:rsidRPr="00AC678E">
        <w:rPr>
          <w:color w:val="222222"/>
          <w:sz w:val="36"/>
          <w:szCs w:val="36"/>
        </w:rPr>
        <w:br/>
        <w:t>2.2. Человек и общество;</w:t>
      </w:r>
      <w:r w:rsidRPr="00AC678E">
        <w:rPr>
          <w:color w:val="222222"/>
          <w:sz w:val="36"/>
          <w:szCs w:val="36"/>
        </w:rPr>
        <w:br/>
        <w:t>2.3. Родина, государство, гражданская позиция человека.</w:t>
      </w:r>
    </w:p>
    <w:p w:rsidR="00AC678E" w:rsidRPr="00AC678E" w:rsidRDefault="00AC678E" w:rsidP="00AC678E">
      <w:pPr>
        <w:pStyle w:val="a7"/>
        <w:shd w:val="clear" w:color="auto" w:fill="FFFFFF"/>
        <w:spacing w:before="0" w:beforeAutospacing="0" w:after="0" w:afterAutospacing="0"/>
        <w:ind w:left="167"/>
        <w:rPr>
          <w:color w:val="222222"/>
          <w:sz w:val="36"/>
          <w:szCs w:val="36"/>
        </w:rPr>
      </w:pPr>
      <w:r w:rsidRPr="00AC678E">
        <w:rPr>
          <w:rStyle w:val="a3"/>
          <w:color w:val="222222"/>
          <w:sz w:val="36"/>
          <w:szCs w:val="36"/>
          <w:bdr w:val="none" w:sz="0" w:space="0" w:color="auto" w:frame="1"/>
        </w:rPr>
        <w:t>3. Природа и культура в жизни человека</w:t>
      </w:r>
      <w:r w:rsidRPr="00AC678E">
        <w:rPr>
          <w:color w:val="222222"/>
          <w:sz w:val="36"/>
          <w:szCs w:val="36"/>
        </w:rPr>
        <w:br/>
        <w:t>3.1. Природа и человек;</w:t>
      </w:r>
      <w:r w:rsidRPr="00AC678E">
        <w:rPr>
          <w:color w:val="222222"/>
          <w:sz w:val="36"/>
          <w:szCs w:val="36"/>
        </w:rPr>
        <w:br/>
        <w:t>3.2. Наука и человек;</w:t>
      </w:r>
      <w:r w:rsidRPr="00AC678E">
        <w:rPr>
          <w:color w:val="222222"/>
          <w:sz w:val="36"/>
          <w:szCs w:val="36"/>
        </w:rPr>
        <w:br/>
        <w:t>3.3. Искусство и человек.</w:t>
      </w:r>
    </w:p>
    <w:p w:rsidR="004626BD" w:rsidRPr="00AC678E" w:rsidRDefault="00315DAD" w:rsidP="00F2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678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AC678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315DAD" w:rsidRPr="00AC678E" w:rsidRDefault="00315DAD" w:rsidP="00F27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678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315DAD" w:rsidRPr="00104B89" w:rsidRDefault="00315DAD" w:rsidP="00F27493">
      <w:pPr>
        <w:spacing w:after="0" w:line="240" w:lineRule="auto"/>
        <w:ind w:left="360" w:hanging="927"/>
        <w:jc w:val="both"/>
        <w:rPr>
          <w:rFonts w:ascii="Times New Roman" w:hAnsi="Times New Roman" w:cs="Times New Roman"/>
          <w:sz w:val="36"/>
          <w:szCs w:val="36"/>
        </w:rPr>
      </w:pPr>
    </w:p>
    <w:sectPr w:rsidR="00315DAD" w:rsidRPr="00104B89" w:rsidSect="00315DAD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D8E"/>
    <w:multiLevelType w:val="multilevel"/>
    <w:tmpl w:val="FA8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E1849"/>
    <w:multiLevelType w:val="multilevel"/>
    <w:tmpl w:val="B45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F44A9"/>
    <w:multiLevelType w:val="multilevel"/>
    <w:tmpl w:val="A470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95F02"/>
    <w:rsid w:val="000F31FE"/>
    <w:rsid w:val="00104B89"/>
    <w:rsid w:val="00315DAD"/>
    <w:rsid w:val="003A7F4C"/>
    <w:rsid w:val="004626BD"/>
    <w:rsid w:val="004649E2"/>
    <w:rsid w:val="00543984"/>
    <w:rsid w:val="00571009"/>
    <w:rsid w:val="00631AD7"/>
    <w:rsid w:val="00693EB6"/>
    <w:rsid w:val="00701DF8"/>
    <w:rsid w:val="007A0EFE"/>
    <w:rsid w:val="008E504E"/>
    <w:rsid w:val="009957C1"/>
    <w:rsid w:val="00A756EA"/>
    <w:rsid w:val="00AC678E"/>
    <w:rsid w:val="00CB65B7"/>
    <w:rsid w:val="00D2715B"/>
    <w:rsid w:val="00D85324"/>
    <w:rsid w:val="00E15BD9"/>
    <w:rsid w:val="00F27493"/>
    <w:rsid w:val="00F95F02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C"/>
  </w:style>
  <w:style w:type="paragraph" w:styleId="1">
    <w:name w:val="heading 1"/>
    <w:basedOn w:val="a"/>
    <w:next w:val="a"/>
    <w:link w:val="10"/>
    <w:uiPriority w:val="9"/>
    <w:qFormat/>
    <w:rsid w:val="00CB6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5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F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95F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6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57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443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973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342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697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96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957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628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8364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019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710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34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3367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2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13" Type="http://schemas.openxmlformats.org/officeDocument/2006/relationships/hyperlink" Target="http://doc.fipi.ru/itogovoe-sochinenie/Sbornik_otchetnyh_form_2022-202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2_Kommentarii_k_razdelam_banka_tem_sochineniy.pdf" TargetMode="External"/><Relationship Id="rId12" Type="http://schemas.openxmlformats.org/officeDocument/2006/relationships/hyperlink" Target="http://doc.fipi.ru/itogovoe-sochinenie/pravila_zapolneniya_blankov_2022-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hyperlink" Target="http://doc.fipi.ru/itogovoe-sochinenie/mr_organizacia_it_sochineniya_2022-23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.fipi.ru/itogovoe-sochinenie/RON_04-411_28.10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Kriterii_it_soch.pdf" TargetMode="External"/><Relationship Id="rId14" Type="http://schemas.openxmlformats.org/officeDocument/2006/relationships/hyperlink" Target="http://doc.fipi.ru/itogovoe-sochinenie/01_struktura_banka_tem_sochinen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20</cp:revision>
  <dcterms:created xsi:type="dcterms:W3CDTF">2021-09-16T12:00:00Z</dcterms:created>
  <dcterms:modified xsi:type="dcterms:W3CDTF">2022-11-23T13:09:00Z</dcterms:modified>
</cp:coreProperties>
</file>