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E2F8D" w:rsidRPr="00CE2F8D" w:rsidRDefault="00CE2F8D" w:rsidP="00CE2F8D">
      <w:pPr>
        <w:pStyle w:val="a3"/>
        <w:jc w:val="center"/>
        <w:rPr>
          <w:b/>
          <w:bCs/>
          <w:color w:val="000000"/>
          <w:sz w:val="28"/>
          <w:szCs w:val="28"/>
        </w:rPr>
      </w:pPr>
      <w:bookmarkStart w:id="0" w:name="_GoBack"/>
      <w:r w:rsidRPr="00CE2F8D">
        <w:rPr>
          <w:b/>
          <w:bCs/>
          <w:color w:val="000000"/>
          <w:sz w:val="28"/>
          <w:szCs w:val="28"/>
        </w:rPr>
        <w:t>О сроках, местах и порядке информирования о результатах итогового сочинения в 2022-2023 учебном году</w:t>
      </w:r>
    </w:p>
    <w:bookmarkEnd w:id="0"/>
    <w:p w:rsidR="00CE2F8D" w:rsidRDefault="00CE2F8D" w:rsidP="00CE2F8D">
      <w:pPr>
        <w:pStyle w:val="a3"/>
        <w:ind w:firstLine="709"/>
        <w:jc w:val="both"/>
        <w:rPr>
          <w:color w:val="000000"/>
          <w:sz w:val="27"/>
          <w:szCs w:val="27"/>
        </w:rPr>
      </w:pPr>
      <w:r>
        <w:rPr>
          <w:color w:val="000000"/>
          <w:sz w:val="27"/>
          <w:szCs w:val="27"/>
        </w:rPr>
        <w:t>Согласно Порядку проведения государственной итоговой аттестации по образовательным программам среднего общего образования (Приказ Министерства просвещения Российской Федерации и Федеральной службы по надзору в сфере образования и науки от 07.11.2018 года №190/1512 «Об утверждении Порядка проведения государственной итоговой аттестации по образовательным программам среднего общего образования») проверка итогового сочинения (изложения) обучающихся XI классов (выпускников текущего года) завершается не позднее чем через семь календарных дней с даты проведения итогового сочинения.</w:t>
      </w:r>
    </w:p>
    <w:p w:rsidR="00CE2F8D" w:rsidRDefault="00CE2F8D" w:rsidP="00CE2F8D">
      <w:pPr>
        <w:pStyle w:val="a3"/>
        <w:ind w:firstLine="709"/>
        <w:jc w:val="both"/>
        <w:rPr>
          <w:color w:val="000000"/>
          <w:sz w:val="27"/>
          <w:szCs w:val="27"/>
        </w:rPr>
      </w:pPr>
      <w:r>
        <w:rPr>
          <w:color w:val="000000"/>
          <w:sz w:val="27"/>
          <w:szCs w:val="27"/>
        </w:rPr>
        <w:t>Обработка бланков итогового сочинения (изложения) осуществляется региональными центрами обработки информации (РЦОИ) и завершается не позднее чем через пять календарных дней после завершения проверки итогового сочинения.</w:t>
      </w:r>
    </w:p>
    <w:p w:rsidR="00CE2F8D" w:rsidRDefault="00CE2F8D" w:rsidP="00CE2F8D">
      <w:pPr>
        <w:pStyle w:val="a3"/>
        <w:ind w:firstLine="709"/>
        <w:jc w:val="both"/>
        <w:rPr>
          <w:color w:val="000000"/>
          <w:sz w:val="27"/>
          <w:szCs w:val="27"/>
        </w:rPr>
      </w:pPr>
      <w:r>
        <w:rPr>
          <w:color w:val="000000"/>
          <w:sz w:val="27"/>
          <w:szCs w:val="27"/>
        </w:rPr>
        <w:t xml:space="preserve">Ознакомление обучающихся XI классов (выпускников текущего года) с результатами итогового сочинения («зачёт» или «незачёт») проводится в </w:t>
      </w:r>
      <w:r>
        <w:rPr>
          <w:color w:val="000000"/>
          <w:sz w:val="27"/>
          <w:szCs w:val="27"/>
        </w:rPr>
        <w:t xml:space="preserve">МБОУСОШ №2 </w:t>
      </w:r>
      <w:r>
        <w:rPr>
          <w:color w:val="000000"/>
          <w:sz w:val="27"/>
          <w:szCs w:val="27"/>
        </w:rPr>
        <w:t>после получения протокола проверки.</w:t>
      </w:r>
    </w:p>
    <w:p w:rsidR="00CE2F8D" w:rsidRDefault="00CE2F8D"/>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3402"/>
        <w:gridCol w:w="2126"/>
      </w:tblGrid>
      <w:tr w:rsidR="00CE2F8D" w:rsidRPr="008D4452" w:rsidTr="006D0699">
        <w:trPr>
          <w:trHeight w:val="247"/>
        </w:trPr>
        <w:tc>
          <w:tcPr>
            <w:tcW w:w="709" w:type="dxa"/>
          </w:tcPr>
          <w:p w:rsidR="00CE2F8D" w:rsidRPr="008D4452" w:rsidRDefault="00CE2F8D" w:rsidP="006D0699">
            <w:pPr>
              <w:pStyle w:val="Default"/>
              <w:jc w:val="center"/>
              <w:rPr>
                <w:sz w:val="28"/>
                <w:szCs w:val="28"/>
              </w:rPr>
            </w:pPr>
            <w:r w:rsidRPr="008D4452">
              <w:rPr>
                <w:sz w:val="28"/>
                <w:szCs w:val="28"/>
              </w:rPr>
              <w:t>№ п/п</w:t>
            </w:r>
          </w:p>
        </w:tc>
        <w:tc>
          <w:tcPr>
            <w:tcW w:w="3119" w:type="dxa"/>
          </w:tcPr>
          <w:p w:rsidR="00CE2F8D" w:rsidRPr="008D4452" w:rsidRDefault="00CE2F8D" w:rsidP="006D0699">
            <w:pPr>
              <w:pStyle w:val="Default"/>
              <w:jc w:val="center"/>
              <w:rPr>
                <w:sz w:val="28"/>
                <w:szCs w:val="28"/>
              </w:rPr>
            </w:pPr>
            <w:r w:rsidRPr="008D4452">
              <w:rPr>
                <w:sz w:val="28"/>
                <w:szCs w:val="28"/>
              </w:rPr>
              <w:t>Наименование учреждения</w:t>
            </w:r>
          </w:p>
        </w:tc>
        <w:tc>
          <w:tcPr>
            <w:tcW w:w="3402" w:type="dxa"/>
          </w:tcPr>
          <w:p w:rsidR="00CE2F8D" w:rsidRPr="008D4452" w:rsidRDefault="00CE2F8D" w:rsidP="006D0699">
            <w:pPr>
              <w:pStyle w:val="Default"/>
              <w:jc w:val="center"/>
              <w:rPr>
                <w:sz w:val="28"/>
                <w:szCs w:val="28"/>
              </w:rPr>
            </w:pPr>
            <w:r w:rsidRPr="008D4452">
              <w:rPr>
                <w:sz w:val="28"/>
                <w:szCs w:val="28"/>
              </w:rPr>
              <w:t>Адрес</w:t>
            </w:r>
          </w:p>
        </w:tc>
        <w:tc>
          <w:tcPr>
            <w:tcW w:w="2126" w:type="dxa"/>
          </w:tcPr>
          <w:p w:rsidR="00CE2F8D" w:rsidRPr="008D4452" w:rsidRDefault="00CE2F8D" w:rsidP="006D0699">
            <w:pPr>
              <w:pStyle w:val="Default"/>
              <w:jc w:val="center"/>
              <w:rPr>
                <w:sz w:val="28"/>
                <w:szCs w:val="28"/>
              </w:rPr>
            </w:pPr>
            <w:r w:rsidRPr="008D4452">
              <w:rPr>
                <w:sz w:val="28"/>
                <w:szCs w:val="28"/>
              </w:rPr>
              <w:t>Телефоны</w:t>
            </w:r>
          </w:p>
          <w:p w:rsidR="00CE2F8D" w:rsidRPr="008D4452" w:rsidRDefault="00CE2F8D" w:rsidP="006D0699">
            <w:pPr>
              <w:pStyle w:val="Default"/>
              <w:jc w:val="center"/>
              <w:rPr>
                <w:sz w:val="28"/>
                <w:szCs w:val="28"/>
              </w:rPr>
            </w:pPr>
            <w:r w:rsidRPr="008D4452">
              <w:rPr>
                <w:sz w:val="28"/>
                <w:szCs w:val="28"/>
              </w:rPr>
              <w:t>для справок</w:t>
            </w:r>
          </w:p>
        </w:tc>
      </w:tr>
      <w:tr w:rsidR="00CE2F8D" w:rsidRPr="008D4452" w:rsidTr="006D0699">
        <w:trPr>
          <w:trHeight w:val="247"/>
        </w:trPr>
        <w:tc>
          <w:tcPr>
            <w:tcW w:w="709" w:type="dxa"/>
          </w:tcPr>
          <w:p w:rsidR="00CE2F8D" w:rsidRPr="008D4452" w:rsidRDefault="00CE2F8D" w:rsidP="006D0699">
            <w:pPr>
              <w:pStyle w:val="Default"/>
              <w:rPr>
                <w:sz w:val="28"/>
                <w:szCs w:val="28"/>
              </w:rPr>
            </w:pPr>
            <w:r w:rsidRPr="008D4452">
              <w:rPr>
                <w:sz w:val="28"/>
                <w:szCs w:val="28"/>
              </w:rPr>
              <w:t>1.</w:t>
            </w:r>
          </w:p>
        </w:tc>
        <w:tc>
          <w:tcPr>
            <w:tcW w:w="3119" w:type="dxa"/>
          </w:tcPr>
          <w:p w:rsidR="00CE2F8D" w:rsidRPr="008D4452" w:rsidRDefault="00CE2F8D" w:rsidP="006D0699">
            <w:pPr>
              <w:pStyle w:val="Default"/>
              <w:rPr>
                <w:sz w:val="28"/>
                <w:szCs w:val="28"/>
              </w:rPr>
            </w:pPr>
            <w:r w:rsidRPr="008D4452">
              <w:rPr>
                <w:sz w:val="28"/>
                <w:szCs w:val="28"/>
              </w:rPr>
              <w:t xml:space="preserve">Муниципальное бюджетное общеобразовательное учреждение </w:t>
            </w:r>
            <w:r>
              <w:rPr>
                <w:sz w:val="28"/>
                <w:szCs w:val="28"/>
              </w:rPr>
              <w:t>средняя общеобразовательная школа №2</w:t>
            </w:r>
          </w:p>
        </w:tc>
        <w:tc>
          <w:tcPr>
            <w:tcW w:w="3402" w:type="dxa"/>
          </w:tcPr>
          <w:p w:rsidR="00CE2F8D" w:rsidRPr="008D4452" w:rsidRDefault="00CE2F8D" w:rsidP="006D0699">
            <w:pPr>
              <w:pStyle w:val="Default"/>
              <w:rPr>
                <w:sz w:val="28"/>
                <w:szCs w:val="28"/>
              </w:rPr>
            </w:pPr>
            <w:r w:rsidRPr="008D4452">
              <w:rPr>
                <w:sz w:val="28"/>
                <w:szCs w:val="28"/>
              </w:rPr>
              <w:t xml:space="preserve">352690, Краснодарский край, город Апшеронск, улица Ленина, дом </w:t>
            </w:r>
            <w:r>
              <w:rPr>
                <w:sz w:val="28"/>
                <w:szCs w:val="28"/>
              </w:rPr>
              <w:t>74</w:t>
            </w:r>
          </w:p>
        </w:tc>
        <w:tc>
          <w:tcPr>
            <w:tcW w:w="2126" w:type="dxa"/>
          </w:tcPr>
          <w:p w:rsidR="00CE2F8D" w:rsidRPr="008D4452" w:rsidRDefault="00CE2F8D" w:rsidP="006D0699">
            <w:pPr>
              <w:pStyle w:val="Default"/>
              <w:rPr>
                <w:sz w:val="28"/>
                <w:szCs w:val="28"/>
              </w:rPr>
            </w:pPr>
            <w:r w:rsidRPr="008D4452">
              <w:rPr>
                <w:sz w:val="28"/>
                <w:szCs w:val="28"/>
              </w:rPr>
              <w:t>8(86152)</w:t>
            </w:r>
            <w:r>
              <w:rPr>
                <w:sz w:val="28"/>
                <w:szCs w:val="28"/>
              </w:rPr>
              <w:t>28402</w:t>
            </w:r>
          </w:p>
          <w:p w:rsidR="00CE2F8D" w:rsidRPr="008D4452" w:rsidRDefault="00CE2F8D" w:rsidP="006D0699">
            <w:pPr>
              <w:pStyle w:val="Default"/>
              <w:rPr>
                <w:sz w:val="28"/>
                <w:szCs w:val="28"/>
              </w:rPr>
            </w:pPr>
            <w:r w:rsidRPr="008D4452">
              <w:rPr>
                <w:sz w:val="28"/>
                <w:szCs w:val="28"/>
              </w:rPr>
              <w:t>8(918)</w:t>
            </w:r>
            <w:r>
              <w:rPr>
                <w:sz w:val="28"/>
                <w:szCs w:val="28"/>
              </w:rPr>
              <w:t>1456404</w:t>
            </w:r>
          </w:p>
        </w:tc>
      </w:tr>
    </w:tbl>
    <w:p w:rsidR="00CE2F8D" w:rsidRDefault="00CE2F8D"/>
    <w:sectPr w:rsidR="00CE2F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8D"/>
    <w:rsid w:val="009B5095"/>
    <w:rsid w:val="00CE2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A8E04"/>
  <w15:chartTrackingRefBased/>
  <w15:docId w15:val="{5D17956D-F492-4BC7-83A0-1B6006DA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F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E2F8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CE2F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64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Шпиклирная Г А</dc:creator>
  <cp:keywords/>
  <dc:description/>
  <cp:lastModifiedBy>Шпиклирная Г А</cp:lastModifiedBy>
  <cp:revision>1</cp:revision>
  <dcterms:created xsi:type="dcterms:W3CDTF">2022-11-07T18:52:00Z</dcterms:created>
  <dcterms:modified xsi:type="dcterms:W3CDTF">2022-11-07T18:53:00Z</dcterms:modified>
</cp:coreProperties>
</file>