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147" w:rsidRDefault="00334147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34147" w:rsidRDefault="00334147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334147" w:rsidRDefault="00334147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334147" w:rsidRDefault="00334147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334147" w:rsidRDefault="00334147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15 </w:t>
      </w:r>
    </w:p>
    <w:p w:rsidR="00334147" w:rsidRDefault="00334147">
      <w:pPr>
        <w:pStyle w:val="1"/>
        <w:spacing w:line="21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критериев и показателей оценки профессиональной деятельности </w:t>
      </w:r>
      <w:r>
        <w:rPr>
          <w:color w:val="000000"/>
          <w:sz w:val="28"/>
          <w:szCs w:val="28"/>
        </w:rPr>
        <w:t xml:space="preserve">старшего вожатого </w:t>
      </w:r>
    </w:p>
    <w:p w:rsidR="00334147" w:rsidRDefault="00334147">
      <w:pPr>
        <w:pStyle w:val="1"/>
        <w:spacing w:line="21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обр</w:t>
      </w:r>
      <w:r>
        <w:rPr>
          <w:sz w:val="28"/>
          <w:szCs w:val="28"/>
        </w:rPr>
        <w:t>азовательной организации Кировской области</w:t>
      </w:r>
    </w:p>
    <w:p w:rsidR="00334147" w:rsidRDefault="00334147">
      <w:pPr>
        <w:jc w:val="center"/>
      </w:pPr>
      <w:r>
        <w:rPr>
          <w:b/>
          <w:sz w:val="28"/>
          <w:szCs w:val="28"/>
        </w:rPr>
        <w:t>(высшая квалификационная категория)</w:t>
      </w:r>
    </w:p>
    <w:p w:rsidR="00334147" w:rsidRDefault="00334147">
      <w:pPr>
        <w:jc w:val="center"/>
      </w:pPr>
    </w:p>
    <w:p w:rsidR="00334147" w:rsidRDefault="00334147">
      <w:pPr>
        <w:spacing w:line="216" w:lineRule="auto"/>
        <w:jc w:val="center"/>
        <w:rPr>
          <w:sz w:val="2"/>
          <w:szCs w:val="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4089"/>
      </w:tblGrid>
      <w:tr w:rsidR="00251460" w:rsidTr="009238FF">
        <w:trPr>
          <w:cantSplit/>
          <w:trHeight w:val="284"/>
          <w:tblHeader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51460" w:rsidRDefault="0025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51460" w:rsidRDefault="0025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251460" w:rsidTr="009238FF">
        <w:trPr>
          <w:cantSplit/>
          <w:trHeight w:val="469"/>
          <w:tblHeader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51460" w:rsidRDefault="0025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pStyle w:val="western"/>
              <w:spacing w:before="0"/>
              <w:ind w:hanging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ind w:left="28" w:right="6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 по итогам м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ниторингов, проводимых организацией (за 3 года)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обучающихся в детские общественные организации (объединения), организация работы детских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организаций (объединений)</w:t>
            </w:r>
          </w:p>
          <w:p w:rsidR="00251460" w:rsidRDefault="00251460">
            <w:pPr>
              <w:jc w:val="both"/>
              <w:rPr>
                <w:sz w:val="28"/>
                <w:szCs w:val="28"/>
              </w:rPr>
            </w:pPr>
          </w:p>
        </w:tc>
      </w:tr>
      <w:tr w:rsidR="00251460" w:rsidTr="009238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обучающихся в детское самоуправление, помощь в организации органов детского самоуправления </w:t>
            </w:r>
          </w:p>
        </w:tc>
      </w:tr>
      <w:tr w:rsidR="00251460" w:rsidTr="009238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ind w:left="-52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социально-значимую деятельность (добровольчество, </w:t>
            </w:r>
            <w:proofErr w:type="spellStart"/>
            <w:r>
              <w:rPr>
                <w:sz w:val="28"/>
                <w:szCs w:val="28"/>
              </w:rPr>
              <w:t>волонтёрство</w:t>
            </w:r>
            <w:proofErr w:type="spellEnd"/>
            <w:r>
              <w:rPr>
                <w:sz w:val="28"/>
                <w:szCs w:val="28"/>
              </w:rPr>
              <w:t xml:space="preserve">, социальные акции и т.д.) </w:t>
            </w:r>
          </w:p>
        </w:tc>
      </w:tr>
      <w:tr w:rsidR="00251460" w:rsidTr="009238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ind w:left="-52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Привлечение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каникулярному отдыху </w:t>
            </w:r>
          </w:p>
        </w:tc>
      </w:tr>
      <w:tr w:rsidR="00251460" w:rsidTr="009238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Наличие целевых проектов и программ по развитию детского самоуправления, гражданской и нравственной 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ции обучающихся не ниже муниципального уровня</w:t>
            </w:r>
          </w:p>
        </w:tc>
      </w:tr>
      <w:tr w:rsidR="00251460" w:rsidTr="009238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</w:tr>
      <w:tr w:rsidR="00251460" w:rsidTr="009238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pStyle w:val="western"/>
              <w:spacing w:before="0"/>
              <w:ind w:hanging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Соблюдение прав ребенка во время образовательного процесса  </w:t>
            </w:r>
          </w:p>
        </w:tc>
      </w:tr>
      <w:tr w:rsidR="00251460" w:rsidTr="009238FF">
        <w:trPr>
          <w:cantSplit/>
          <w:trHeight w:val="354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251460" w:rsidRDefault="0025146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Пр</w:t>
            </w:r>
            <w:r>
              <w:rPr>
                <w:b/>
                <w:sz w:val="28"/>
                <w:szCs w:val="28"/>
                <w:shd w:val="clear" w:color="auto" w:fill="FFFFFF"/>
              </w:rPr>
              <w:t>а</w:t>
            </w:r>
            <w:r>
              <w:rPr>
                <w:b/>
                <w:sz w:val="28"/>
                <w:szCs w:val="28"/>
                <w:shd w:val="clear" w:color="auto" w:fill="FFFFFF"/>
              </w:rPr>
              <w:t>вительства Российской Федерации от 5 августа 2013 года № 662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snapToGrid w:val="0"/>
              <w:jc w:val="both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color w:val="000000"/>
                <w:sz w:val="28"/>
                <w:szCs w:val="28"/>
              </w:rPr>
              <w:t>Участие обучающихся  в возрасте от 14 до 18 лет в деятельности молодежных общественных объединений на рег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ональном уровне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обучающихся  в возрасте от 14 до 18 лет в проектах и программах регионального уровня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но-спортивной деятельности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Подготовка участников, победителей и призеров конкурсов, фестивалей, соревнований, олимпиад и т. д. не ниже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гионального уровня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потенциала обучающихся:</w:t>
            </w:r>
          </w:p>
          <w:p w:rsidR="00251460" w:rsidRDefault="002514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осуществление взаимодействия с </w:t>
            </w:r>
            <w:proofErr w:type="gramStart"/>
            <w:r>
              <w:rPr>
                <w:sz w:val="28"/>
                <w:szCs w:val="28"/>
              </w:rPr>
              <w:t>учителями-предметниками</w:t>
            </w:r>
            <w:proofErr w:type="gramEnd"/>
            <w:r>
              <w:rPr>
                <w:sz w:val="28"/>
                <w:szCs w:val="28"/>
              </w:rPr>
              <w:t>, руководителями детских объединений  для развития познавательных интересов обучающихся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творческого потенциала обучающихся </w:t>
            </w:r>
          </w:p>
          <w:p w:rsidR="00251460" w:rsidRDefault="002514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в проектной деятельности  на региональном уровне и выше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t>3.4</w:t>
            </w:r>
          </w:p>
        </w:tc>
        <w:tc>
          <w:tcPr>
            <w:tcW w:w="1408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физкультурно-спортивную деятельность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тенденцией роста от 50%) на региональном уровне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 w:rsidP="00031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</w:t>
            </w:r>
            <w:r w:rsidR="00031D0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031D0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</w:t>
            </w:r>
            <w:r w:rsidR="00031D04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тивах опыта практических результатов своей профессиональной деятельности, экспериментальной и инн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вационной</w:t>
            </w:r>
          </w:p>
        </w:tc>
      </w:tr>
      <w:tr w:rsidR="00251460" w:rsidTr="009238FF">
        <w:trPr>
          <w:cantSplit/>
          <w:trHeight w:val="659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251460" w:rsidRDefault="00251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дополнительных профессиональных</w:t>
            </w:r>
            <w:proofErr w:type="gramEnd"/>
            <w:r>
              <w:rPr>
                <w:sz w:val="28"/>
                <w:szCs w:val="28"/>
              </w:rPr>
              <w:t xml:space="preserve">  программ (повышения квалификации или переподготовки)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филю профессиональной деятельности 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по актуальным вопросам развития образования (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последние 3 года)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квалификации по информационным технологиям за </w:t>
            </w:r>
            <w:proofErr w:type="spellStart"/>
            <w:r>
              <w:rPr>
                <w:color w:val="000000"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в образовательном процессе цифровых образовательных ресурсов 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наград:</w:t>
            </w:r>
          </w:p>
          <w:p w:rsidR="00251460" w:rsidRDefault="00251460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областного уровня (без срока давности);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  <w:p w:rsidR="00251460" w:rsidRDefault="00251460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отраслевые и государственные награды (без срока давности)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старшего вожатого педагогическим сообществом не ниже регионального уровня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методической работе на региональном уровне (за 3 года)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инновационной (экспериментальной) деятельности не ниже регионального уровня (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последние 3 года)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</w:pPr>
            <w:r>
              <w:rPr>
                <w:sz w:val="28"/>
                <w:szCs w:val="28"/>
              </w:rPr>
              <w:t>Участие старшего вожатого в общественно значимых мероприятиях не ниже регионального уровня</w:t>
            </w:r>
          </w:p>
          <w:p w:rsidR="00251460" w:rsidRDefault="00251460">
            <w:pPr>
              <w:jc w:val="both"/>
            </w:pP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 победителем, призёром, лауреатом, дипломантом профессионального конкурса, олимпиады не ниже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shd w:val="clear" w:color="auto" w:fill="FFFFFF"/>
              <w:ind w:right="20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методических публикаций в сборниках материалов конференций, форумов, в периодических печатных изданиях не ниже регионального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shd w:val="clear" w:color="auto" w:fill="FFFFFF"/>
              <w:ind w:right="20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жюри, экспертных комиссий не ниже регионального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shd w:val="clear" w:color="auto" w:fill="FFFFFF"/>
              <w:ind w:right="20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профессиональных сообществ педагогов на муниципальном уровне и участие на 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ном уровне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</w:t>
            </w:r>
          </w:p>
        </w:tc>
      </w:tr>
      <w:tr w:rsidR="00251460" w:rsidTr="009238FF">
        <w:trPr>
          <w:cantSplit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51460" w:rsidRDefault="0025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51460" w:rsidRDefault="00251460">
            <w:pPr>
              <w:shd w:val="clear" w:color="auto" w:fill="FFFFFF"/>
              <w:ind w:right="201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контрольно-оценочной деятельности с использованием средств ИКТ (электронные формы ведения документации) (за 3 года)</w:t>
            </w:r>
          </w:p>
        </w:tc>
      </w:tr>
    </w:tbl>
    <w:p w:rsidR="00334147" w:rsidRDefault="00334147">
      <w:pPr>
        <w:spacing w:line="216" w:lineRule="auto"/>
        <w:jc w:val="center"/>
      </w:pP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Комментарий:</w:t>
      </w:r>
      <w:r>
        <w:rPr>
          <w:sz w:val="28"/>
          <w:szCs w:val="28"/>
        </w:rPr>
        <w:t xml:space="preserve"> </w:t>
      </w:r>
    </w:p>
    <w:p w:rsidR="00334147" w:rsidRDefault="00334147">
      <w:pPr>
        <w:spacing w:line="216" w:lineRule="auto"/>
        <w:rPr>
          <w:sz w:val="28"/>
          <w:szCs w:val="28"/>
        </w:rPr>
      </w:pPr>
    </w:p>
    <w:p w:rsidR="00334147" w:rsidRDefault="00334147">
      <w:pPr>
        <w:tabs>
          <w:tab w:val="left" w:pos="5580"/>
        </w:tabs>
        <w:suppressAutoHyphens/>
        <w:spacing w:line="21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Показатель, требующий подтверждения по годам, считается положительным, если результаты каждого года соответствуют требованиям.</w:t>
      </w:r>
    </w:p>
    <w:p w:rsidR="00334147" w:rsidRDefault="00334147">
      <w:pPr>
        <w:tabs>
          <w:tab w:val="left" w:pos="5580"/>
        </w:tabs>
        <w:suppressAutoHyphens/>
        <w:spacing w:line="216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критерий должен быть подтверждён положительным значением показателей, при этом общий результат должен составлять не менее 22 положительных значений из 28 возможных. По остальным показателям возможно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подтверждение за данный период.</w:t>
      </w:r>
    </w:p>
    <w:p w:rsidR="00334147" w:rsidRDefault="00334147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9238FF" w:rsidRDefault="009238FF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9238FF" w:rsidRDefault="009238FF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251460" w:rsidRDefault="00251460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</w:p>
    <w:p w:rsidR="00334147" w:rsidRDefault="00334147">
      <w:pPr>
        <w:jc w:val="right"/>
      </w:pPr>
    </w:p>
    <w:p w:rsidR="00334147" w:rsidRDefault="00334147">
      <w:pPr>
        <w:jc w:val="right"/>
      </w:pPr>
      <w:r>
        <w:rPr>
          <w:b/>
          <w:sz w:val="28"/>
          <w:szCs w:val="28"/>
          <w:shd w:val="clear" w:color="auto" w:fill="FFFFFF"/>
        </w:rPr>
        <w:lastRenderedPageBreak/>
        <w:t>Приложение к таблице №15</w:t>
      </w:r>
    </w:p>
    <w:p w:rsidR="00334147" w:rsidRDefault="00334147">
      <w:pPr>
        <w:jc w:val="center"/>
      </w:pPr>
    </w:p>
    <w:p w:rsidR="00334147" w:rsidRDefault="00334147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334147" w:rsidRDefault="00334147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профессиональной деятельности старшего вожатого образовательной организации Кировской области</w:t>
      </w:r>
    </w:p>
    <w:p w:rsidR="00334147" w:rsidRDefault="003341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(высшая квалификационная категория)</w:t>
      </w:r>
    </w:p>
    <w:p w:rsidR="00334147" w:rsidRDefault="00334147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334147" w:rsidRDefault="00334147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334147" w:rsidRDefault="00334147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334147" w:rsidRDefault="00334147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  <w:r>
        <w:rPr>
          <w:sz w:val="28"/>
          <w:szCs w:val="28"/>
        </w:rPr>
        <w:tab/>
      </w:r>
    </w:p>
    <w:p w:rsidR="00334147" w:rsidRDefault="00334147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5790"/>
        <w:gridCol w:w="600"/>
        <w:gridCol w:w="141"/>
        <w:gridCol w:w="54"/>
        <w:gridCol w:w="105"/>
        <w:gridCol w:w="267"/>
        <w:gridCol w:w="283"/>
        <w:gridCol w:w="1715"/>
        <w:gridCol w:w="3360"/>
        <w:gridCol w:w="2325"/>
      </w:tblGrid>
      <w:tr w:rsidR="00334147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47" w:rsidRDefault="003341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47" w:rsidRDefault="003341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47" w:rsidRDefault="003341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47" w:rsidRDefault="003341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147" w:rsidRDefault="003341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  <w:p w:rsidR="00334147" w:rsidRDefault="003341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147" w:rsidRDefault="003341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34147">
        <w:trPr>
          <w:cantSplit/>
        </w:trPr>
        <w:tc>
          <w:tcPr>
            <w:tcW w:w="154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47" w:rsidRDefault="00334147">
            <w:pPr>
              <w:ind w:left="28"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Положительная динамика результатов освоения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образовательных программ</w:t>
            </w:r>
          </w:p>
          <w:p w:rsidR="00334147" w:rsidRDefault="00334147">
            <w:pPr>
              <w:ind w:left="28" w:right="6"/>
              <w:jc w:val="center"/>
            </w:pPr>
            <w:r>
              <w:rPr>
                <w:b/>
                <w:bCs/>
                <w:sz w:val="28"/>
                <w:szCs w:val="28"/>
              </w:rPr>
              <w:t>по итогам мониторингов, проводимых организацией (за 3 года)</w:t>
            </w:r>
          </w:p>
        </w:tc>
      </w:tr>
      <w:tr w:rsidR="00D43888" w:rsidTr="009238FF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обучающихся в детские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ственные организации (объединения),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работы детских общественных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(объединений)</w:t>
            </w:r>
          </w:p>
          <w:p w:rsidR="00D43888" w:rsidRDefault="00D43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ind w:firstLine="495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1.1</w:t>
            </w:r>
          </w:p>
        </w:tc>
      </w:tr>
      <w:tr w:rsidR="00D43888" w:rsidTr="009238FF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обучающихся в детское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управление, помощь в организации органов детского самоуправления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1.2</w:t>
            </w:r>
          </w:p>
        </w:tc>
      </w:tr>
      <w:tr w:rsidR="00D43888" w:rsidTr="009238FF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социально-значимую деятельность (добровольчество,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лонтёрство</w:t>
            </w:r>
            <w:proofErr w:type="spellEnd"/>
            <w:r>
              <w:rPr>
                <w:sz w:val="28"/>
                <w:szCs w:val="28"/>
              </w:rPr>
              <w:t xml:space="preserve">, социальные акции и т.д.)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1.3</w:t>
            </w:r>
          </w:p>
        </w:tc>
      </w:tr>
      <w:tr w:rsidR="00D43888" w:rsidTr="009238FF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каникулярному отдыху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ind w:firstLine="495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1.4</w:t>
            </w:r>
          </w:p>
        </w:tc>
      </w:tr>
      <w:tr w:rsidR="00D43888" w:rsidTr="009238FF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целевых проектов и программ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витию детского самоуправления, гражданской и нравственной позиции обучающихся не ниже муниципального уровня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1.5</w:t>
            </w:r>
          </w:p>
        </w:tc>
      </w:tr>
      <w:tr w:rsidR="00D43888" w:rsidTr="009238FF">
        <w:trPr>
          <w:cantSplit/>
          <w:trHeight w:val="7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1.6</w:t>
            </w:r>
          </w:p>
        </w:tc>
      </w:tr>
      <w:tr w:rsidR="00D43888" w:rsidTr="009238FF">
        <w:trPr>
          <w:cantSplit/>
          <w:trHeight w:val="71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 ребенка во время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процесса  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1.7</w:t>
            </w:r>
          </w:p>
        </w:tc>
      </w:tr>
      <w:tr w:rsidR="00334147">
        <w:trPr>
          <w:cantSplit/>
        </w:trPr>
        <w:tc>
          <w:tcPr>
            <w:tcW w:w="154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47" w:rsidRDefault="0033414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34147" w:rsidRDefault="0033414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334147" w:rsidRDefault="00334147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по итогам мониторинга  системы образования, 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</w:t>
            </w:r>
          </w:p>
          <w:p w:rsidR="00334147" w:rsidRDefault="00334147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Правительства Российской Федерации от 5 августа 2013 года № 662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обучающихся  в возрасте от 14 до 18 лет в деятельности молодежных общественных объединений на региональном уровне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контроля внутри организации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2.1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обучающихся  в возрасте от 14 до 18 лет в проектах и программах регионального уровня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контроля внутри организации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2.2</w:t>
            </w:r>
          </w:p>
        </w:tc>
      </w:tr>
      <w:tr w:rsidR="00334147">
        <w:trPr>
          <w:cantSplit/>
        </w:trPr>
        <w:tc>
          <w:tcPr>
            <w:tcW w:w="154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47" w:rsidRDefault="00334147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Выявление и развитие способностей обучающихся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</w:t>
            </w:r>
          </w:p>
          <w:p w:rsidR="00334147" w:rsidRDefault="00334147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pStyle w:val="a6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Подготовка участников, победителей и 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ров конкурсов, фестивалей, соревнований, олимпиад и т. д. не ниже регионального уровня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грамоты или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ответствующие приказы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3.1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потенциала обучающихся:</w:t>
            </w:r>
          </w:p>
          <w:p w:rsidR="00D43888" w:rsidRDefault="00D438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осуществление взаимодействия с </w:t>
            </w:r>
            <w:proofErr w:type="gramStart"/>
            <w:r>
              <w:rPr>
                <w:sz w:val="28"/>
                <w:szCs w:val="28"/>
              </w:rPr>
              <w:t>учителями-предметниками</w:t>
            </w:r>
            <w:proofErr w:type="gramEnd"/>
            <w:r>
              <w:rPr>
                <w:sz w:val="28"/>
                <w:szCs w:val="28"/>
              </w:rPr>
              <w:t>, руководителями детских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единений  для развития познавательных инт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ресов обучающихся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отчёт организации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3.2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развития творческого потенциала обучающихся </w:t>
            </w:r>
          </w:p>
          <w:p w:rsidR="00D43888" w:rsidRDefault="00D438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проектной деятельности  на региональном уровне и выше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отчёт организации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3.3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физкультурно-спортивную деятельность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тенденцией роста от 50%) на региональном уровне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отчёт организации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Приложение № 3.4</w:t>
            </w:r>
          </w:p>
        </w:tc>
      </w:tr>
      <w:tr w:rsidR="00334147">
        <w:trPr>
          <w:cantSplit/>
        </w:trPr>
        <w:tc>
          <w:tcPr>
            <w:tcW w:w="154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04" w:rsidRDefault="00334147" w:rsidP="00031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031D04"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</w:p>
          <w:p w:rsidR="00031D04" w:rsidRDefault="00031D04" w:rsidP="00031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</w:t>
            </w:r>
          </w:p>
          <w:p w:rsidR="00334147" w:rsidRDefault="00031D04" w:rsidP="00031D04">
            <w:pPr>
              <w:spacing w:line="216" w:lineRule="auto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и инновационной</w:t>
            </w:r>
            <w:bookmarkStart w:id="0" w:name="_GoBack"/>
            <w:bookmarkEnd w:id="0"/>
            <w:proofErr w:type="gramEnd"/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дополнительных профессиональных</w:t>
            </w:r>
            <w:proofErr w:type="gramEnd"/>
            <w:r>
              <w:rPr>
                <w:sz w:val="28"/>
                <w:szCs w:val="28"/>
              </w:rPr>
              <w:t xml:space="preserve">  программ (повышения квалификации или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реподготовки) по профилю профессиональной деятельности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 повышении квалификации или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4.1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по актуальным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просам развития образования (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повышении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4.2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по информацио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ным технологиям за </w:t>
            </w:r>
            <w:proofErr w:type="spellStart"/>
            <w:r>
              <w:rPr>
                <w:color w:val="000000"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повышении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4.3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 образовательном процессе ци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ровых образовательных ресурсов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подтверждение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43888" w:rsidRDefault="00D4388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4.4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наград:</w:t>
            </w:r>
          </w:p>
          <w:p w:rsidR="00D43888" w:rsidRDefault="00D43888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областного уровня (без срока давности);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  <w:p w:rsidR="00D43888" w:rsidRDefault="00D43888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отраслевые и государственные награды (без срока давности)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выписка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трудовой книжки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4.5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старшего вож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того педагогическим сообществом не ниже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гионального уровня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4.6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методической работе на 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 (за 3 года)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заверенная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водителем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4.7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инновационной (экспериме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тальной) деятельности не ниже регионального уровня (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организации инновационной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участии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гогического работника в инновационной или эксп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риментальной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заверенная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 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4.8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</w:pPr>
            <w:r>
              <w:rPr>
                <w:sz w:val="28"/>
                <w:szCs w:val="28"/>
              </w:rPr>
              <w:t>Участие старшего вожатого в общественно значимых мероприятиях не ниже региональн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</w:t>
            </w:r>
          </w:p>
          <w:p w:rsidR="00D43888" w:rsidRDefault="00D43888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заверенная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водителем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4.9</w:t>
            </w:r>
          </w:p>
        </w:tc>
      </w:tr>
      <w:tr w:rsidR="00334147">
        <w:trPr>
          <w:cantSplit/>
        </w:trPr>
        <w:tc>
          <w:tcPr>
            <w:tcW w:w="1548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147" w:rsidRDefault="0033414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5. Активное участие в работе методических объединений педагогических работников организаций, в разработке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граммно-методического сопровождения образовательного процесса, профессиональных конкурсах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 победителем, призёром, лауреатом, дипломантом профессионального конкурса, олимпиады не ниже регионального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</w:t>
            </w:r>
          </w:p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соответствующие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4.10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ках материалов конференций, форумов, в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риодических печатных изданиях не ниже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гионального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титульного листа и оглавления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4.11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жюри, экспертных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 не ниже регионального уровня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следние 3 года)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4.12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профессиональных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обществ педагогов на муниципальном уровне и участие на региональном уровне (за </w:t>
            </w: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следние</w:t>
            </w:r>
            <w:proofErr w:type="gramEnd"/>
            <w:r>
              <w:rPr>
                <w:sz w:val="28"/>
                <w:szCs w:val="28"/>
              </w:rPr>
              <w:t xml:space="preserve"> 3 года)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4.13</w:t>
            </w:r>
          </w:p>
        </w:tc>
      </w:tr>
      <w:tr w:rsidR="00D43888" w:rsidTr="009238FF">
        <w:trPr>
          <w:cantSplit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контрольно-оценочной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с использованием средств ИКТ (электронные формы ведения документации) (за 3 года)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888" w:rsidRDefault="00D4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88" w:rsidRDefault="00D43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888" w:rsidRDefault="00D43888">
            <w:pPr>
              <w:jc w:val="center"/>
            </w:pPr>
            <w:r>
              <w:rPr>
                <w:sz w:val="28"/>
                <w:szCs w:val="28"/>
              </w:rPr>
              <w:t>№ 4.14</w:t>
            </w:r>
          </w:p>
        </w:tc>
      </w:tr>
    </w:tbl>
    <w:p w:rsidR="00334147" w:rsidRDefault="00334147">
      <w:pPr>
        <w:spacing w:line="216" w:lineRule="auto"/>
        <w:rPr>
          <w:sz w:val="28"/>
          <w:szCs w:val="28"/>
        </w:rPr>
      </w:pP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334147" w:rsidRDefault="00334147">
      <w:pPr>
        <w:spacing w:line="216" w:lineRule="auto"/>
        <w:rPr>
          <w:sz w:val="28"/>
          <w:szCs w:val="28"/>
        </w:rPr>
      </w:pP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Старший вожатый</w:t>
      </w:r>
      <w:r>
        <w:rPr>
          <w:sz w:val="28"/>
          <w:szCs w:val="28"/>
        </w:rPr>
        <w:tab/>
      </w: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(подпись)</w:t>
      </w:r>
    </w:p>
    <w:p w:rsidR="00334147" w:rsidRDefault="00334147">
      <w:pPr>
        <w:spacing w:line="216" w:lineRule="auto"/>
        <w:rPr>
          <w:sz w:val="28"/>
          <w:szCs w:val="28"/>
        </w:rPr>
      </w:pP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 руководителя образовательной организации</w:t>
      </w: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(Фамилия, Имя, Отчество)                                                                                                                                                                  (подпись)</w:t>
      </w:r>
    </w:p>
    <w:p w:rsidR="00334147" w:rsidRDefault="00334147">
      <w:pPr>
        <w:spacing w:line="216" w:lineRule="auto"/>
        <w:rPr>
          <w:sz w:val="28"/>
          <w:szCs w:val="28"/>
        </w:rPr>
      </w:pP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</w:t>
      </w:r>
    </w:p>
    <w:p w:rsidR="00334147" w:rsidRDefault="003341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(подпись)</w:t>
      </w:r>
    </w:p>
    <w:p w:rsidR="00334147" w:rsidRDefault="00334147">
      <w:pPr>
        <w:spacing w:line="216" w:lineRule="auto"/>
        <w:rPr>
          <w:sz w:val="28"/>
          <w:szCs w:val="28"/>
        </w:rPr>
      </w:pPr>
    </w:p>
    <w:p w:rsidR="00334147" w:rsidRDefault="00334147">
      <w:pPr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334147" w:rsidRDefault="00334147">
      <w:pPr>
        <w:spacing w:line="216" w:lineRule="auto"/>
      </w:pPr>
      <w:r>
        <w:rPr>
          <w:sz w:val="28"/>
          <w:szCs w:val="28"/>
        </w:rPr>
        <w:t>Дата</w:t>
      </w:r>
    </w:p>
    <w:sectPr w:rsidR="0033414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8"/>
    <w:rsid w:val="00031D04"/>
    <w:rsid w:val="00251460"/>
    <w:rsid w:val="00334147"/>
    <w:rsid w:val="009238FF"/>
    <w:rsid w:val="00D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8"/>
      <w:szCs w:val="28"/>
    </w:rPr>
  </w:style>
  <w:style w:type="character" w:customStyle="1" w:styleId="WW8Num3z0">
    <w:name w:val="WW8Num3z0"/>
    <w:rPr>
      <w:rFonts w:hint="default"/>
      <w:b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Основной текст Знак"/>
    <w:rPr>
      <w:rFonts w:ascii="Calibri" w:hAnsi="Calibri" w:cs="Calibri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Calibri" w:hAnsi="Calibri" w:cs="Calibri"/>
      <w:lang w:val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3">
    <w:name w:val="Обычный (веб)1"/>
    <w:basedOn w:val="a"/>
    <w:pPr>
      <w:spacing w:before="280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8"/>
      <w:szCs w:val="28"/>
    </w:rPr>
  </w:style>
  <w:style w:type="character" w:customStyle="1" w:styleId="WW8Num3z0">
    <w:name w:val="WW8Num3z0"/>
    <w:rPr>
      <w:rFonts w:hint="default"/>
      <w:b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Основной текст Знак"/>
    <w:rPr>
      <w:rFonts w:ascii="Calibri" w:hAnsi="Calibri" w:cs="Calibri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jc w:val="both"/>
    </w:pPr>
    <w:rPr>
      <w:rFonts w:ascii="Calibri" w:hAnsi="Calibri" w:cs="Calibri"/>
      <w:lang w:val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3">
    <w:name w:val="Обычный (веб)1"/>
    <w:basedOn w:val="a"/>
    <w:pPr>
      <w:spacing w:before="280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User</cp:lastModifiedBy>
  <cp:revision>3</cp:revision>
  <cp:lastPrinted>2016-07-10T21:59:00Z</cp:lastPrinted>
  <dcterms:created xsi:type="dcterms:W3CDTF">2016-09-19T13:18:00Z</dcterms:created>
  <dcterms:modified xsi:type="dcterms:W3CDTF">2016-09-20T06:42:00Z</dcterms:modified>
</cp:coreProperties>
</file>