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first-line="426"/>
      </w:pPr>
      <w:r>
        <w:rPr>
          <w:rFonts w:ascii="Times New Roman" w:hAnsi="Times New Roman" w:cs="Times New Roman"/>
          <w:sz w:val="28"/>
          <w:sz-cs w:val="28"/>
          <w:b/>
        </w:rPr>
        <w:t xml:space="preserve">Годовой отчет</w:t>
      </w:r>
    </w:p>
    <w:p>
      <w:pPr>
        <w:jc w:val="center"/>
        <w:ind w:first-line="426"/>
      </w:pPr>
      <w:r>
        <w:rPr>
          <w:rFonts w:ascii="Times New Roman" w:hAnsi="Times New Roman" w:cs="Times New Roman"/>
          <w:sz w:val="28"/>
          <w:sz-cs w:val="28"/>
          <w:b/>
        </w:rPr>
        <w:t xml:space="preserve">Муниципального бюджетного учреждения</w:t>
      </w:r>
    </w:p>
    <w:p>
      <w:pPr>
        <w:jc w:val="center"/>
        <w:ind w:first-line="426"/>
      </w:pPr>
      <w:r>
        <w:rPr>
          <w:rFonts w:ascii="Times New Roman" w:hAnsi="Times New Roman" w:cs="Times New Roman"/>
          <w:sz w:val="28"/>
          <w:sz-cs w:val="28"/>
          <w:b/>
        </w:rPr>
        <w:t xml:space="preserve">«Дворец культуры имени Горького»</w:t>
      </w:r>
    </w:p>
    <w:p>
      <w:pPr>
        <w:jc w:val="center"/>
        <w:ind w:first-line="426"/>
      </w:pPr>
      <w:r>
        <w:rPr>
          <w:rFonts w:ascii="Times New Roman" w:hAnsi="Times New Roman" w:cs="Times New Roman"/>
          <w:sz w:val="28"/>
          <w:sz-cs w:val="28"/>
          <w:b/>
        </w:rPr>
        <w:t xml:space="preserve">за 2018 г.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В 2018 году творческая деятельность Дворца культуры имени Горького осуществлялась в рамках «Года добровольца и волонтера в России». 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В связи с этим были выбраны несколько приоритетных направлений в работе: 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- пропаганда и популяризация волонтерского движения;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- формирование активной жизненной позиции, формирование активной позиции гражданина к международному волонтерскому движению;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- пропаганда здорового образа жизни среди населения и профилактика асоциальных явлений;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- развитие самодеятельного художественного творчества;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- развитие клубных формирований разных направлений и форм (детские, взрослые, для пожилых людей, для женщин, патриотические, направленные на профилактику асоциальных явлений и так далее);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- созидание семейных ценностей, ориентация на семейный досуг;</w:t>
      </w:r>
    </w:p>
    <w:p>
      <w:pPr>
        <w:jc w:val="both"/>
        <w:ind w:first-line="426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- качественное оказание социально-культурных и культурно-досуговых услуг для населения и другое.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В свете трагических событий, произошедших в ТЦ «Зимняя Вишня» в городе Кемерово, важной и приоритетной задачей, для нашего учреждения, стало создание безопасных условий проведения учебно-творческого процесса. Поэтому обучение учащихся правильному поведению в чрезвычайных ситуациях стало неотъемлемой частью любого культурно-массового мероприятия. Таким образом практически на любом мероприятии, в котором задействованы дети, проходили пятиминутки, обучающие игры, эстафеты и викторины в конкурсно-развлекательной форме, которые рассказывали о правилах безопасности, организации и осуществлении профилактики пожаров, спасении людей и имущества при пожарах, организации тушения пожаров и проведении спасательных работ. 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Все это делалось для того, чтобы ребята знали и понимали тактику поведения в момент ЧС и своими действиями способствовали разрешению критической ситуации наилучшим для себя образом.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 С родителями воспитанников творческих коллективов были проведены информационно-пропагандистские мероприятия по повышению бдительности родителей и разъяснены их действия в случае возникновения пожара, отработаны маршруты эвакуации. Родители прошли анкетирование и получили памятки Пожарной безопасности.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Даже самые маленькие воспитанники дворца в возрасте от 3 до 6 лет, занимающиеся в группах эстетического развития, были в игровой форме ознакомлены с таким страшным явлением как пожар, поиграли в спасателей, прослушали сказку “Кошкин дом”, после которой была проведена профилактическая беседа.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Анализ деятельности клубных учреждений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 Сеть клубных учреждений составляет 2 ед., из них 1 (МБУ «ДК им. Горького») и 1 (СДК поселка Подобас). 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По сравнению с прошлым годом сеть не изменилась.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Количество культурно – массовых мероприятий за 2018 г. составило 552 ед. (МБУ «ДК им. Горького»), что на 5 ед. больше, чем в 2017 г. и 143 ед. (СДК поселка Подобас) с числом посетителей культурно – массовых мероприятий – 90186 чел. и 2145 чел. соответственно. 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Из общего числа мероприятий на платной основе - 68, посетителей на платных мероприятиях – 23 280 человек. 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В среднем каждое клубное учреждение в 2018 году провело в месяц около 30 мероприятий.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Количество клубных формирований 16 ед. (в них участников 316 чел.), из них для детей 7 ед. (в них участников 212 чел.), из них для молодежи 2 ед. (в них участников 23 чел.), для людей старшего поколения 7 ед., (в них участников 81 чел.).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       Количество формирований не изменилось, количество участников в коллективах перераспределилось, но осталось прежним.</w:t>
      </w:r>
    </w:p>
    <w:p>
      <w:pPr>
        <w:jc w:val="both"/>
        <w:ind w:first-line="567"/>
        <w:spacing w:after="160"/>
      </w:pPr>
      <w:r>
        <w:rPr>
          <w:rFonts w:ascii="Times New Roman" w:hAnsi="Times New Roman" w:cs="Times New Roman"/>
          <w:sz w:val="28"/>
          <w:sz-cs w:val="28"/>
        </w:rPr>
        <w:t xml:space="preserve">      2018 г. был богат на творческие юбилеи. Прошел юбилейный концерт руководителя театра миниатюр «Антураж» Копысова Василия Ивановича, по случаю его 70-летия и более чем 50-летнего «актерского» стажа. Состоялся 40-летний юбилей народного коллектива Хор русской песни и отпраздновал юбилей его бессменный руководитель Черников Сергей Алексеевич (60 лет), на двоих с коллективом 100-летний юбилей.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Материально-техническая база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Показатели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Количество (ед.)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Наименование учреждения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КДУ, нуждающиеся в капитальном ремонте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-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Аварийные КДУ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-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Проведены капитальные ремонты (с указанием видов ремонтных работ: замена кровли, замена отопления и т.д.)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-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Приобретение комплектов сценических костюмов (с указанием количества)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9комплектов, ткань на 3 комплекта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Приобретение музыкальных инструментов (наименование)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-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Приобретение комплекта звукотехнического оборудования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Вокальная система и микшерный пульт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Приобретение комплекта светового оборудования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-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Кадры КДУ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На сегодняшний день получают образование:</w:t>
      </w:r>
    </w:p>
    <w:p>
      <w:pPr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- высшее по культуре __-___ чел.</w:t>
      </w:r>
    </w:p>
    <w:p>
      <w:pPr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- среднее специальное по культуре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   -   </w:t>
      </w:r>
      <w:r>
        <w:rPr>
          <w:rFonts w:ascii="Times New Roman" w:hAnsi="Times New Roman" w:cs="Times New Roman"/>
          <w:sz w:val="28"/>
          <w:sz-cs w:val="28"/>
        </w:rPr>
        <w:t xml:space="preserve">чел.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В 2018 году число уволенных специалистов 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7 </w:t>
      </w:r>
      <w:r>
        <w:rPr>
          <w:rFonts w:ascii="Times New Roman" w:hAnsi="Times New Roman" w:cs="Times New Roman"/>
          <w:sz w:val="28"/>
          <w:sz-cs w:val="28"/>
        </w:rPr>
        <w:t xml:space="preserve">   чел.; число принятых на работу специалистов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   4    </w:t>
      </w:r>
      <w:r>
        <w:rPr>
          <w:rFonts w:ascii="Times New Roman" w:hAnsi="Times New Roman" w:cs="Times New Roman"/>
          <w:sz w:val="28"/>
          <w:sz-cs w:val="28"/>
        </w:rPr>
        <w:t xml:space="preserve"> чел.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Работников, прошедших обучение (повышение квалификации)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   5    </w:t>
      </w:r>
      <w:r>
        <w:rPr>
          <w:rFonts w:ascii="Times New Roman" w:hAnsi="Times New Roman" w:cs="Times New Roman"/>
          <w:sz w:val="28"/>
          <w:sz-cs w:val="28"/>
        </w:rPr>
        <w:t xml:space="preserve"> чел. </w:t>
      </w:r>
    </w:p>
    <w:p>
      <w:pPr>
        <w:jc w:val="both"/>
        <w:ind w:first-line="567"/>
      </w:pPr>
      <w:r>
        <w:rPr>
          <w:rFonts w:ascii="Times New Roman" w:hAnsi="Times New Roman" w:cs="Times New Roman"/>
          <w:sz w:val="28"/>
          <w:sz-cs w:val="28"/>
        </w:rPr>
        <w:t xml:space="preserve">Меры поддержки работников культуры на муниципальном уровне.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Развитие народного творчества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Количество клубных формирований самодеятельного народного творчества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16</w:t>
      </w:r>
      <w:r>
        <w:rPr>
          <w:rFonts w:ascii="Times New Roman" w:hAnsi="Times New Roman" w:cs="Times New Roman"/>
          <w:sz w:val="28"/>
          <w:sz-cs w:val="28"/>
        </w:rPr>
        <w:t xml:space="preserve"> ед. (в них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316</w:t>
      </w:r>
      <w:r>
        <w:rPr>
          <w:rFonts w:ascii="Times New Roman" w:hAnsi="Times New Roman" w:cs="Times New Roman"/>
          <w:sz w:val="28"/>
          <w:sz-cs w:val="28"/>
        </w:rPr>
        <w:t xml:space="preserve"> участников), из них для детей (</w:t>
      </w:r>
      <w:r>
        <w:rPr>
          <w:rFonts w:ascii="Times New Roman" w:hAnsi="Times New Roman" w:cs="Times New Roman"/>
          <w:sz w:val="28"/>
          <w:sz-cs w:val="28"/>
          <w:i/>
        </w:rPr>
        <w:t xml:space="preserve">до 14 лет включительно</w:t>
      </w:r>
      <w:r>
        <w:rPr>
          <w:rFonts w:ascii="Times New Roman" w:hAnsi="Times New Roman" w:cs="Times New Roman"/>
          <w:sz w:val="28"/>
          <w:sz-cs w:val="28"/>
        </w:rPr>
        <w:t xml:space="preserve">)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7</w:t>
      </w:r>
      <w:r>
        <w:rPr>
          <w:rFonts w:ascii="Times New Roman" w:hAnsi="Times New Roman" w:cs="Times New Roman"/>
          <w:sz w:val="28"/>
          <w:sz-cs w:val="28"/>
        </w:rPr>
        <w:t xml:space="preserve"> ед. (в них участников)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212</w:t>
      </w:r>
      <w:r>
        <w:rPr>
          <w:rFonts w:ascii="Times New Roman" w:hAnsi="Times New Roman" w:cs="Times New Roman"/>
          <w:sz w:val="28"/>
          <w:sz-cs w:val="28"/>
        </w:rPr>
        <w:t xml:space="preserve">, из них для молодежи (</w:t>
      </w:r>
      <w:r>
        <w:rPr>
          <w:rFonts w:ascii="Times New Roman" w:hAnsi="Times New Roman" w:cs="Times New Roman"/>
          <w:sz w:val="28"/>
          <w:sz-cs w:val="28"/>
          <w:i/>
        </w:rPr>
        <w:t xml:space="preserve">от 15 до 24 лет</w:t>
      </w:r>
      <w:r>
        <w:rPr>
          <w:rFonts w:ascii="Times New Roman" w:hAnsi="Times New Roman" w:cs="Times New Roman"/>
          <w:sz w:val="28"/>
          <w:sz-cs w:val="28"/>
        </w:rPr>
        <w:t xml:space="preserve"> </w:t>
      </w:r>
      <w:r>
        <w:rPr>
          <w:rFonts w:ascii="Times New Roman" w:hAnsi="Times New Roman" w:cs="Times New Roman"/>
          <w:sz w:val="28"/>
          <w:sz-cs w:val="28"/>
          <w:i/>
        </w:rPr>
        <w:t xml:space="preserve">включительно</w:t>
      </w:r>
      <w:r>
        <w:rPr>
          <w:rFonts w:ascii="Times New Roman" w:hAnsi="Times New Roman" w:cs="Times New Roman"/>
          <w:sz w:val="28"/>
          <w:sz-cs w:val="28"/>
        </w:rPr>
        <w:t xml:space="preserve">) 2 ед. (в них участников)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23.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Количество формирований самодеятельного народного творчества по сравнению с 2017 г. осталось прежним, количество участников в общем не изменилось, уменьшилось количество детских формирований на 2 (в связи с увольнением педагога) и возросло на 1 ед. количество формирований для молодежи.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Всего во дворце существует 46 культурно-досуговых формирований, 30 из которых любительские объединения и клубы по интересам, в которых занимаются 589 человек и 16 самодеятельных формирований в которых занимаются 316 человек.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Самодеятельные коллективы подразделяются на следующие категории: детские 7/212 человек, молодежные 2/23 человек, для взрослых 3/20 человек, смешанный состав 1/25 человек и пожилые 3/36.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Клубные формирования 30, делятся на детские, молодежные и взрослые(пожилые) соответственно: 9/10/11 с количеством человек 245/145/199.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Количество участников в детских любительских объединениях уменьшилось на 23 человека в сравнении с 2017 г. (в связи с уходом педагога) в клубах для молодежи и пожилой аудитории, наоборот увеличилось. Количество клубов не изменилось.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Количество коллективов со званием «народный самодеятельный коллектив» «образцовый самодеятельный коллектив» 2 ед. (в них участников 39 человек).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На сегодняшний день процентное соотношение жанров народного творчества таково: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37.5% от общего числа составляет вокальный жанр;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18.8% - хореографический жанр;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12.5% - театральный жанр;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12.5% - коллективы ИЗО;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12.5% - хоровые коллективы;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0,1 % - художественное слово.</w:t>
      </w:r>
    </w:p>
    <w:p>
      <w:pPr>
        <w:jc w:val="both"/>
        <w:ind w:first-line="425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Наиболее популярным жанром является вокал и хореография. Театральный жанр, художественное творчество и хоровое исполнение, так же пользуется популярностью у населения города. В зачатке находится такой жанр, как художественное слово. Этот жанр появился во дворце только в этом году и представлен в группах эстетического развития «Pixie» для юного поколения Мысковчан.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</w:rPr>
        <w:t xml:space="preserve"> Группы эстетического развития детей «Pixie» - это новый проект, который существует с начала учебного года. В группах занимаются дети в возрасте от 3 до 6 лет, всего 4 группы. Развитие происходит сразу по 4 направлениям: изобразительное искусство, актерское мастерство, вокал и хореография. Сейчас группа эстетического развития насчитывает 57 участников, в 2019 г. планируется увеличение групп и как следствие участников.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</w:t>
      </w:r>
      <w:r>
        <w:rPr>
          <w:rFonts w:ascii="Times New Roman" w:hAnsi="Times New Roman" w:cs="Times New Roman"/>
          <w:sz w:val="28"/>
          <w:sz-cs w:val="28"/>
          <w:color w:val="FF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Фольклор.  Возрождение и сохранение 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традиционной народной культуры</w:t>
      </w:r>
    </w:p>
    <w:p>
      <w:pPr>
        <w:jc w:val="both"/>
        <w:ind w:first-line="567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     </w:t>
      </w:r>
      <w:r>
        <w:rPr>
          <w:rFonts w:ascii="Times New Roman" w:hAnsi="Times New Roman" w:cs="Times New Roman"/>
          <w:sz w:val="28"/>
          <w:sz-cs w:val="28"/>
          <w:color w:val="FF0000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</w:rPr>
        <w:t xml:space="preserve">На базе МБУ «ДК им. Горького» ведётся деятельность по сохранению традиционной народной культуры.</w:t>
      </w:r>
    </w:p>
    <w:p>
      <w:pPr>
        <w:jc w:val="both"/>
        <w:ind w:first-line="567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Ежегодно проводится Открытый городской фестиваль-конкурс народного творчества «Льются песни крылатые», в котором принимают участие коллективы со всей Кемеровской области.</w:t>
      </w:r>
    </w:p>
    <w:p>
      <w:pPr>
        <w:jc w:val="both"/>
        <w:ind w:first-line="567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Наши художники в творческих объединениях «Мозаика» и «Художник» занимаются прикладным декоративным творчеством, участвуют в выставках и конкурсах. Педагог Алексей Михайлович Бабенко главной целью ставит развитие наивного искусства, а Прошкина Юлия Викторовна делает упор на самобытное прикладное творчество.</w:t>
      </w:r>
    </w:p>
    <w:p>
      <w:pPr>
        <w:jc w:val="both"/>
        <w:ind w:first-line="567"/>
        <w:spacing w:before="100" w:after="100"/>
      </w:pPr>
      <w:r>
        <w:rPr>
          <w:rFonts w:ascii="Times New Roman" w:hAnsi="Times New Roman" w:cs="Times New Roman"/>
          <w:sz w:val="28"/>
          <w:sz-cs w:val="28"/>
        </w:rPr>
        <w:t xml:space="preserve">Народное масленичное гуляние ежегодно собирает весь город за сладким блином и традиционной забавой: тут и состязание «Столб» и «Армрестлинг», и силачи гиревики, и частушечники, и веселые скоморохи, и сжигание чучела «Зимушки-зимы». Вот уже пять лет подряд горожане радуют активным участием в городском масленичном конкурсе-шествии «Сударыня масленица», своей выдумкой и самобытными, самодельными куклами масленицы. В 2018 году также прошел IV городской конкурс «Масленый блин» среди жителей и индивидуальных предпринимателей в области организации общественного питания, с целью сохранения традиций национальной кухни. Конкурсанты соревновались в номинациях: «Самый большой блин», «Оригинальное блюдо из блинов», «Самая необычная и вкусная начинка», «Оригинальный рецепт блинов», «Оригинальный рецепт травяного чая и других безалкогольных напитков». В планах на 2019 г. провести первый в городе фестиваль вкусной еды, где национальная еда будет представлена отдельной номинацией.</w:t>
      </w:r>
    </w:p>
    <w:p>
      <w:pPr>
        <w:jc w:val="both"/>
        <w:ind w:first-line="284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  <w:ind w:first-line="284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  <w:ind w:first-line="284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  <w:ind w:first-line="284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Работа по направлению ДПИ и ИЗО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Количество клубных формирований по декоративно – прикладному искусству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2</w:t>
      </w:r>
      <w:r>
        <w:rPr>
          <w:rFonts w:ascii="Times New Roman" w:hAnsi="Times New Roman" w:cs="Times New Roman"/>
          <w:sz w:val="28"/>
          <w:sz-cs w:val="28"/>
        </w:rPr>
        <w:t xml:space="preserve"> ед.  (в них участников 44 человека), из них для детей </w:t>
      </w:r>
      <w:r>
        <w:rPr>
          <w:rFonts w:ascii="Times New Roman" w:hAnsi="Times New Roman" w:cs="Times New Roman"/>
          <w:sz w:val="28"/>
          <w:sz-cs w:val="28"/>
          <w:u w:val="single"/>
        </w:rPr>
        <w:t xml:space="preserve">1</w:t>
      </w:r>
      <w:r>
        <w:rPr>
          <w:rFonts w:ascii="Times New Roman" w:hAnsi="Times New Roman" w:cs="Times New Roman"/>
          <w:sz w:val="28"/>
          <w:sz-cs w:val="28"/>
        </w:rPr>
        <w:t xml:space="preserve"> ед. (в них участников 34 человека).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Количеству клубных формирований по изобразительному искусству 1 ед., (в них участников 19 человек) в основном пожилые люди.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Кол-во индивидуальных мастеров ДПИ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Кол-во мероприятий по ДПИ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Кол-во художников-любителей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Кол-во мероприятий по ИЗО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Кол-во мероприятий по ИЗО и ДПИ (смешанные)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5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6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10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17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4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Наиболее яркие, значимые и крупномасштабные мероприятия за 2018 год: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- 25 августа состоялась ежегодная 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>выставка картин мысковских художников ко Дню шахтера – «Шахтёрский край»;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- 9 сентября прошла выставка декоративно-прикладного творчества ИЗО-студии «Мозаика», Галереи «АРТ-сегодня» и мысковских ремесленников;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- 28 сентября состоялось Открытие детской выставки «Пускай морщинок лучики...»;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- 5 октября открылась и работала почти месяц выставка художницы М.Ю. Чертоговой;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- 1 ноября открылась групповая выставка Союза художников России (новокузнецкого отделения);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- 16 ноября -Открытие фотовыставки Натальи Казанцевой;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- 14 декабря открылась Выставка работ Архиповской Алевтины, члена СХ России.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Так же при галерее «АРТ Сегодня» существует клуб по интересам «Студия современной живописи», который объединяет творческую молодежь города.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</w:rPr>
        <w:t xml:space="preserve">В 2018 году Дворец продолжает сотрудничать с мастерами декоративно-прикладного творчества.</w:t>
      </w:r>
    </w:p>
    <w:p>
      <w:pPr>
        <w:jc w:val="both"/>
        <w:ind w:first-line="426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Ежегодно в преддверии празднования Дня Города и Дня Шахтера на центральной площади открывается выставка-продажа декоративно-прикладного творчества и ремесла «Город Мастеров. Арт-Базар», где мастера могут не только показать свое творчество, но и реализовать продукцию. Такие же выставки открываются в городе во время массовых гуляний.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</w:rPr>
        <w:t xml:space="preserve">Культурно-досуговая деятельность</w:t>
      </w:r>
      <w:r>
        <w:rPr>
          <w:rFonts w:ascii="Times New Roman" w:hAnsi="Times New Roman" w:cs="Times New Roman"/>
          <w:sz w:val="24"/>
          <w:sz-cs w:val="24"/>
        </w:rPr>
        <w:t xml:space="preserve">         </w:t>
      </w:r>
    </w:p>
    <w:p>
      <w:pPr>
        <w:jc w:val="both"/>
        <w:ind w:first-line="709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Количество любительских объединений, групп, клубов по интересам 30 ед. (в них участников 589 человек). </w:t>
      </w:r>
    </w:p>
    <w:p>
      <w:pPr>
        <w:jc w:val="both"/>
        <w:ind w:first-line="709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Клубные формирования, делятся на детские, молодежные и взрослые(пожилые) соответственно: 9/10/11 с количеством человек 245/145/199.</w:t>
      </w:r>
    </w:p>
    <w:p>
      <w:pPr>
        <w:jc w:val="both"/>
        <w:ind w:first-line="709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Количество участников в детских любительских объединениях уменьшилось на 23 человека в сравнении с 2017 г. (в связи с уходом педагога) в клубах для молодежи и пожилой аудитории, наоборот увеличилось. Количество клубов не изменилось.</w:t>
      </w:r>
    </w:p>
    <w:p>
      <w:pPr>
        <w:jc w:val="both"/>
        <w:ind w:first-line="709"/>
        <w:spacing w:before="100" w:after="10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За 2018 год в МБУ «ДК им. Горького» проведено 552 культурно-досуговых мероприятий, что на 5 единиц больше, чем в 2017 году.</w:t>
      </w:r>
    </w:p>
    <w:p>
      <w:pPr>
        <w:jc w:val="both"/>
        <w:ind w:first-line="709"/>
        <w:spacing w:before="100" w:after="10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Из общего числа мероприятий на платной основе - 68, что на 3 единицы меньше в сравнении с прошлым годом. Посетителей на платных мероприятиях – 23280 человек, что меньше на 8115 человек в сравнении с 2017 годом. Количество платных мероприятий снизилось, в связи с тем, что заведующий Галереи "АРТ - Сегодня" Бабенко А.М. проводит политику приобщения молодого поколения к изобразительному искусству, и ряд крупных выставок, а также мероприятий информационно-просветительской направленности проходят бесплатно. В ответ на такую акцию получено множество позитивных отзывов от педагогов рисования и руководителей изобразительных кружков города Мыски, за возможность бесплатно показать детям работы художников - членов союза художников РФ.</w:t>
      </w:r>
    </w:p>
    <w:p>
      <w:pPr>
        <w:jc w:val="both"/>
        <w:ind w:first-line="709"/>
        <w:spacing w:before="100" w:after="10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 В среднем наше учреждение проводит по 46 мероприятий в месяц, что на 1 больше чем в прошлом году.</w:t>
      </w:r>
    </w:p>
    <w:p>
      <w:pPr>
        <w:jc w:val="both"/>
        <w:ind w:first-line="709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Количество культурно-массовых мероприятий для различных категорий населения за 2018 год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№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Наименование разделов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Количество мероприятий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Число посетителей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2018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2018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Организация семейного досуга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239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282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61227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45831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Организация досуга представителей старшего поколения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25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2467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3102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3.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Мероприятия для людей с ограниченными возможностями здоровья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1400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1448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4.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Организация мероприятий для детей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154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123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20305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5.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Организация мероприятий для молодежи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96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90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19500</w:t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center"/>
        <w:ind w:first-line="709"/>
      </w:pPr>
      <w:r>
        <w:rPr>
          <w:rFonts w:ascii="Times New Roman" w:hAnsi="Times New Roman" w:cs="Times New Roman"/>
          <w:sz w:val="28"/>
          <w:sz-cs w:val="28"/>
        </w:rPr>
        <w:t xml:space="preserve">Инновационные формы культурно-досуговых мероприятий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(краткая информация об инновационных проектах, мероприятиях, акциях на территории)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b/>
        </w:rPr>
        <w:t xml:space="preserve">№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Мероприятие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Краткое описание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1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Вечер караоке+танцы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В летний период времени популярными стали такие мероприятия, как тематические вечера «Караоке + танцы» под открытым небом. Каждую пятницу для всех желающих проводились мастер-классы по зажигательной сальсе, медленному вальсу и аэробике. Работал открытый микрофон с проектором, где любой желающий мог спеть в караоке.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2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Сладкий Квест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Детские игровые программы отныне сопровождаются сладкими столами, такая форма проведения мероприятий очень порадовала ребятишек начальной школы, конкурсы со сладкой ватой, сюрпризы с мороженным, «сладкий» реквизит и «краска» для конкурсов из шоколада.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3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Заседания клуба настольных игр «Игродром»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В этом году популярными стали заседания клуба настольных игр, каждые выходные ребята собираются за сладким чаем и играют в современные настольные игры, такие как: Мафия, Алиас, Опята, Имаджинариум и т.д.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</w:rPr>
        <w:t xml:space="preserve">Информационная деятельность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     В связи с высокой активностью населения в социальных сетях, продолжает свою работу страничка Дворца на интернет-ресурсе «В КОНТАКТЕ», «ОДНОКЛАССНИКИ» и в этом году страничка появилась в «INSTAGRAM». Теперь анонсы мероприятий освещаются в «историях» и ведутся прямые эфиры концертов в социальных сетях.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Странички в соц. сетях используется, как дополнительная помощь в проведении интернет голосований и конкурсов с целью разнообразить культурную жизнь горожан и привлечь во Дворец большее количество посетителей.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В 2018 году количество пресс-релизов составило 60, что на 16 больше чем в 2017 году.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Пресс-релизы размещаются на сайте Администрации города и на личном сайте. В 2018 г. появился новый сайт Дворца Культуры, адаптированный под мобильные телефоны и с режимом для людей с ограниченными возможностями по зрению и слуху.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На сайте запущен счетчик дней, оставшихся до празднования 300-летия Кузбасса.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Всегда свежая информация о мероприятиях, результатах конкурсов и фестивалей, проходящих во Дворце и т.д.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Адрес сайта:  HYPERLINK "https://www.dkgorkiy.com/" https://www.dkgorkiy.com/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Все афиши, дипломы, благодарственные письма, приглашения, программы и прочую печатную продукцию разрабатываем и печатаем своими силами. Сотрудники Дворца владеют начальными навыками работы в программах Фотошоп и Coral Draw. HYPERLINK "https://www.coreldraw.com/ru/"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Дворец Культуры не сотрудничает с радиостанциями, но активно взаимодействует с местной газетой «Мыски» и местным телеканалом РЕН ТВ Мыски. 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Практически ни один выпуск новостей не обходится без освещения культурных мероприятий города, в которых коллективы Дворца принимают активное участие. 2018 г. богат на разного рода Олимпиады, которые не обходятся без мощного открытия, ведения и музыкального сопровождения. Телевидение присутствует на городских торжественных собраниях, конкурсах и фестивалях, юбилейных датах, массовых гуляниях, презентациях и концертах.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После каждого мероприятия пресс-релиз с фотографиями обязательно дублируется в местную газету, наиболее яркие мероприятия освещаются в разделе Культурная жизнь города.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Почти каждый выпуск газеты пестрит достижениями воспитанников нашего дворца, а иногда даже украшает первую полосу.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>Активное взаимодействие со СМИ растет год от года. </w:t>
      </w:r>
    </w:p>
    <w:p>
      <w:pPr>
        <w:jc w:val="both"/>
        <w:ind w:first-line="425"/>
      </w:pPr>
      <w:r>
        <w:rPr>
          <w:rFonts w:ascii="Times New Roman" w:hAnsi="Times New Roman" w:cs="Times New Roman"/>
          <w:sz w:val="24"/>
          <w:sz-cs w:val="24"/>
          <w:b/>
          <w:i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Количество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Телеканалы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Радио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Пресса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2018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2018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2017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2018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28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25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  <w:ind w:first-line="872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/>
      </w:r>
    </w:p>
    <w:p>
      <w:pPr>
        <w:jc w:val="both"/>
        <w:ind w:first-line="872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PAGE  </w:t>
      </w:r>
    </w:p>
    <w:p>
      <w:pPr>
        <w:ind w:right="36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PAGE  4</w:t>
      </w:r>
    </w:p>
    <w:p>
      <w:pPr>
        <w:ind w:right="36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first-line="872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</cp:coreProperties>
</file>

<file path=docProps/meta.xml><?xml version="1.0" encoding="utf-8"?>
<meta xmlns="http://schemas.apple.com/cocoa/2006/metadata">
  <generator>CocoaOOXMLWriter/1561.6</generator>
</meta>
</file>