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Преимущества получения государственной услуги </w:t>
      </w: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993366"/>
          <w:sz w:val="32"/>
          <w:szCs w:val="32"/>
          <w:u w:val="single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color w:val="993366"/>
          <w:sz w:val="32"/>
          <w:szCs w:val="32"/>
          <w:u w:val="single"/>
          <w:lang w:eastAsia="ru-RU"/>
        </w:rPr>
        <w:t>«Установление опеки и попечительства, назначение опекунов, попечителей несовершеннолетним лицам»</w:t>
      </w: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В электронном виде</w:t>
      </w: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05000" cy="2028825"/>
            <wp:effectExtent l="0" t="0" r="0" b="9525"/>
            <wp:docPr id="1" name="Рисунок 1" descr="parents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0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16FA" w:rsidRPr="009816FA" w:rsidRDefault="009816FA" w:rsidP="009816FA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</w:rPr>
        <w:t>Преимущества получения государственных и муниципальных услуг в электронном виде через Единый портал www.gosuslugi.ru:</w:t>
      </w: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а) упрощение получения государственной и муниципальной услуги и другой полезной информации; </w:t>
      </w: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б) сокращение времени от подачи заявления до выдачи оформленного документа; </w:t>
      </w: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в) сокращение количества предоставляемых документов; </w:t>
      </w: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г) информирование гражданина на каждом этапе работы по его заявлению; </w:t>
      </w:r>
    </w:p>
    <w:p w:rsidR="009816FA" w:rsidRPr="009816FA" w:rsidRDefault="009816FA" w:rsidP="009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816FA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д) заявление о предоставлении государственных и муниципальных услуг можно подать практически не выходя из дома или не покидая рабочего места. </w:t>
      </w:r>
    </w:p>
    <w:p w:rsidR="009816FA" w:rsidRPr="009816FA" w:rsidRDefault="009816FA" w:rsidP="009816FA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color w:val="993366"/>
          <w:sz w:val="32"/>
          <w:szCs w:val="32"/>
          <w:lang w:eastAsia="ru-RU"/>
        </w:rPr>
        <w:t>Для получения услуги в электронном виде необходимо: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ШАГ 1: Зайти на Портал </w:t>
      </w:r>
      <w:r w:rsidRPr="009816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http://www.gosuslugi.ru/ 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2: Войти в Личный кабинет, ввести Ваш СНИЛС (логин или электронный адрес).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3: Выбрать Ваше местонахождение.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4: Выбор услуги по Ведомствам.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5: Выбор услуги из списка услуг.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6: Заполнить основные сведения заявителя (обязательные отмечены звездочкой*)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7: Заполнить сведения о Вашем адресе.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ШАГ 8: Отправить заявление (при необходимости направить сканированную копию документа).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 9: Отследить ход оказания услуги.</w:t>
      </w:r>
    </w:p>
    <w:p w:rsidR="009816FA" w:rsidRPr="009816FA" w:rsidRDefault="009816FA" w:rsidP="009816FA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9816FA" w:rsidRPr="009816FA" w:rsidRDefault="009816FA" w:rsidP="009816FA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Перечень документов, </w:t>
      </w:r>
    </w:p>
    <w:p w:rsidR="009816FA" w:rsidRPr="009816FA" w:rsidRDefault="009816FA" w:rsidP="00981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необходимых для предоставления государственной услуги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1. Автобиография.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2. Справка с места работы с указанием должности и размера средней заработной платы за последние 12 месяцев, или другой документ подтверждающий доходы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гражданина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желающего принять ребенка, или справка с места работы, или другой документ подтверждающий доходы супруга (супруги) гражданина.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3. Копия финансового лицевого счета и выписка из домовой (поквартирной) книги с места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жительства  или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 документ, подтверждающий  собственности на жилое помещение, 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4. Справка органов внутренних дел, подтверждающая отсутствие у гражданина судимости или уголовного преследования за преступления против жизни и здоровья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граждан .</w:t>
      </w:r>
      <w:proofErr w:type="gramEnd"/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5. Медицинское заключение медицинской организации о состоянии здоровья лица, желающего быть кандидатом в опекуны, оформляется в порядке, установленном Министерством здравоохранения Российской Федерации.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6.  Копия свидетельства о браке (если гражданин, выразивший желание стать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опекуном,  состоит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в браке).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7. Письменное согласие совершеннолетних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членов семьи с учётом мнения детей, достигших 10-летнего возраста, членов семьи с учётом мнения детей, достигших 10-летнего возраста, проживающих совместно с гражданином.</w:t>
      </w: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ab/>
        <w:t xml:space="preserve">8. Копия свидетельства о прохождении подготовки лица, желающего быть кандидатом в опекуны,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в порядке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установленном п. 4 ст. 127 СК РФ (кроме близких родственников детей, а также лиц, которые являются или являлись опекунами, (попечителями) и не были отстранены от исполнения обязанностей).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9. Копия пенсионного удостоверения, справка из территориального органа Пенсионного фонда РФ или иного органа, осуществляющего пенсионное обеспечение (для лиц, основным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источником доходов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которых является страховое обеспечение по обязательному пенсионному страхованию или иные пенсионные выплаты).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Результатом предоставления государственной услуги являются: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- в случае принятия решения о постановке гражданина на учет в качестве кандидата в опекуны или попечители – заключение за подписью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lastRenderedPageBreak/>
        <w:t>мэра  муниципального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образования  «Городской округ Ногликский» о возможности быть кандидатом в опекуны или попечители.</w:t>
      </w:r>
    </w:p>
    <w:p w:rsidR="009816FA" w:rsidRPr="009816FA" w:rsidRDefault="009816FA" w:rsidP="0098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- в случае принятия решения об отказе в постановке гражданина на учет в качестве кандидата в опекуны или попечители -  заключение за подписью мэра муниципального образования «Городской округ Ногликский» о невозможности быть кандидатом в </w:t>
      </w:r>
      <w:proofErr w:type="gramStart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опекуны  (</w:t>
      </w:r>
      <w:proofErr w:type="gramEnd"/>
      <w:r w:rsidRPr="009816F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попечители).</w:t>
      </w:r>
    </w:p>
    <w:sectPr w:rsidR="009816FA" w:rsidRPr="009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A"/>
    <w:rsid w:val="00865BF2"/>
    <w:rsid w:val="009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99E7-CEB1-441E-9EBE-47C76F81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1</cp:revision>
  <dcterms:created xsi:type="dcterms:W3CDTF">2023-12-10T23:22:00Z</dcterms:created>
  <dcterms:modified xsi:type="dcterms:W3CDTF">2023-12-10T23:28:00Z</dcterms:modified>
</cp:coreProperties>
</file>