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theme/themeOverride3.xml" ContentType="application/vnd.openxmlformats-officedocument.themeOverride+xml"/>
  <Override PartName="/word/charts/chart14.xml" ContentType="application/vnd.openxmlformats-officedocument.drawingml.chart+xml"/>
  <Override PartName="/word/theme/themeOverride4.xml" ContentType="application/vnd.openxmlformats-officedocument.themeOverride+xml"/>
  <Override PartName="/word/charts/chart15.xml" ContentType="application/vnd.openxmlformats-officedocument.drawingml.chart+xml"/>
  <Override PartName="/word/theme/themeOverride5.xml" ContentType="application/vnd.openxmlformats-officedocument.themeOverride+xml"/>
  <Override PartName="/word/charts/chart16.xml" ContentType="application/vnd.openxmlformats-officedocument.drawingml.chart+xml"/>
  <Override PartName="/word/theme/themeOverride6.xml" ContentType="application/vnd.openxmlformats-officedocument.themeOverride+xml"/>
  <Override PartName="/word/charts/chart17.xml" ContentType="application/vnd.openxmlformats-officedocument.drawingml.chart+xml"/>
  <Override PartName="/word/theme/themeOverride7.xml" ContentType="application/vnd.openxmlformats-officedocument.themeOverride+xml"/>
  <Override PartName="/word/charts/chart18.xml" ContentType="application/vnd.openxmlformats-officedocument.drawingml.chart+xml"/>
  <Override PartName="/word/theme/themeOverride8.xml" ContentType="application/vnd.openxmlformats-officedocument.themeOverride+xml"/>
  <Override PartName="/word/charts/chart19.xml" ContentType="application/vnd.openxmlformats-officedocument.drawingml.chart+xml"/>
  <Override PartName="/word/theme/themeOverride9.xml" ContentType="application/vnd.openxmlformats-officedocument.themeOverride+xml"/>
  <Override PartName="/word/charts/chart20.xml" ContentType="application/vnd.openxmlformats-officedocument.drawingml.chart+xml"/>
  <Override PartName="/word/theme/themeOverride10.xml" ContentType="application/vnd.openxmlformats-officedocument.themeOverride+xml"/>
  <Override PartName="/word/charts/chart21.xml" ContentType="application/vnd.openxmlformats-officedocument.drawingml.chart+xml"/>
  <Override PartName="/word/theme/themeOverride11.xml" ContentType="application/vnd.openxmlformats-officedocument.themeOverride+xml"/>
  <Override PartName="/word/charts/chart22.xml" ContentType="application/vnd.openxmlformats-officedocument.drawingml.chart+xml"/>
  <Override PartName="/word/theme/themeOverride12.xml" ContentType="application/vnd.openxmlformats-officedocument.themeOverride+xml"/>
  <Override PartName="/word/charts/chart23.xml" ContentType="application/vnd.openxmlformats-officedocument.drawingml.chart+xml"/>
  <Override PartName="/word/theme/themeOverride13.xml" ContentType="application/vnd.openxmlformats-officedocument.themeOverride+xml"/>
  <Override PartName="/word/charts/chart24.xml" ContentType="application/vnd.openxmlformats-officedocument.drawingml.chart+xml"/>
  <Override PartName="/word/theme/themeOverride14.xml" ContentType="application/vnd.openxmlformats-officedocument.themeOverride+xml"/>
  <Override PartName="/word/charts/chart25.xml" ContentType="application/vnd.openxmlformats-officedocument.drawingml.chart+xml"/>
  <Override PartName="/word/theme/themeOverride15.xml" ContentType="application/vnd.openxmlformats-officedocument.themeOverride+xml"/>
  <Override PartName="/word/charts/chart26.xml" ContentType="application/vnd.openxmlformats-officedocument.drawingml.chart+xml"/>
  <Override PartName="/word/theme/themeOverride16.xml" ContentType="application/vnd.openxmlformats-officedocument.themeOverride+xml"/>
  <Override PartName="/word/charts/chart27.xml" ContentType="application/vnd.openxmlformats-officedocument.drawingml.chart+xml"/>
  <Override PartName="/word/theme/themeOverride17.xml" ContentType="application/vnd.openxmlformats-officedocument.themeOverride+xml"/>
  <Override PartName="/word/charts/chart28.xml" ContentType="application/vnd.openxmlformats-officedocument.drawingml.chart+xml"/>
  <Override PartName="/word/theme/themeOverride18.xml" ContentType="application/vnd.openxmlformats-officedocument.themeOverride+xml"/>
  <Override PartName="/word/charts/chart29.xml" ContentType="application/vnd.openxmlformats-officedocument.drawingml.chart+xml"/>
  <Override PartName="/word/theme/themeOverride19.xml" ContentType="application/vnd.openxmlformats-officedocument.themeOverride+xml"/>
  <Override PartName="/word/charts/chart30.xml" ContentType="application/vnd.openxmlformats-officedocument.drawingml.chart+xml"/>
  <Override PartName="/word/theme/themeOverride20.xml" ContentType="application/vnd.openxmlformats-officedocument.themeOverride+xml"/>
  <Override PartName="/word/charts/chart31.xml" ContentType="application/vnd.openxmlformats-officedocument.drawingml.chart+xml"/>
  <Override PartName="/word/theme/themeOverride21.xml" ContentType="application/vnd.openxmlformats-officedocument.themeOverride+xml"/>
  <Override PartName="/word/charts/chart32.xml" ContentType="application/vnd.openxmlformats-officedocument.drawingml.chart+xml"/>
  <Override PartName="/word/theme/themeOverride22.xml" ContentType="application/vnd.openxmlformats-officedocument.themeOverride+xml"/>
  <Override PartName="/word/charts/chart33.xml" ContentType="application/vnd.openxmlformats-officedocument.drawingml.chart+xml"/>
  <Override PartName="/word/theme/themeOverride23.xml" ContentType="application/vnd.openxmlformats-officedocument.themeOverride+xml"/>
  <Override PartName="/word/charts/chart34.xml" ContentType="application/vnd.openxmlformats-officedocument.drawingml.chart+xml"/>
  <Override PartName="/word/theme/themeOverride24.xml" ContentType="application/vnd.openxmlformats-officedocument.themeOverride+xml"/>
  <Override PartName="/word/charts/chart35.xml" ContentType="application/vnd.openxmlformats-officedocument.drawingml.chart+xml"/>
  <Override PartName="/word/theme/themeOverride25.xml" ContentType="application/vnd.openxmlformats-officedocument.themeOverride+xml"/>
  <Override PartName="/word/charts/chart36.xml" ContentType="application/vnd.openxmlformats-officedocument.drawingml.chart+xml"/>
  <Override PartName="/word/theme/themeOverride26.xml" ContentType="application/vnd.openxmlformats-officedocument.themeOverride+xml"/>
  <Override PartName="/word/charts/chart37.xml" ContentType="application/vnd.openxmlformats-officedocument.drawingml.chart+xml"/>
  <Override PartName="/word/theme/themeOverride27.xml" ContentType="application/vnd.openxmlformats-officedocument.themeOverride+xml"/>
  <Override PartName="/word/charts/chart38.xml" ContentType="application/vnd.openxmlformats-officedocument.drawingml.chart+xml"/>
  <Override PartName="/word/theme/themeOverride28.xml" ContentType="application/vnd.openxmlformats-officedocument.themeOverride+xml"/>
  <Override PartName="/word/charts/chart39.xml" ContentType="application/vnd.openxmlformats-officedocument.drawingml.chart+xml"/>
  <Override PartName="/word/theme/themeOverride29.xml" ContentType="application/vnd.openxmlformats-officedocument.themeOverride+xml"/>
  <Override PartName="/word/charts/chart40.xml" ContentType="application/vnd.openxmlformats-officedocument.drawingml.chart+xml"/>
  <Override PartName="/word/theme/themeOverride30.xml" ContentType="application/vnd.openxmlformats-officedocument.themeOverride+xml"/>
  <Override PartName="/word/charts/chart41.xml" ContentType="application/vnd.openxmlformats-officedocument.drawingml.chart+xml"/>
  <Override PartName="/word/theme/themeOverride31.xml" ContentType="application/vnd.openxmlformats-officedocument.themeOverride+xml"/>
  <Override PartName="/word/charts/chart42.xml" ContentType="application/vnd.openxmlformats-officedocument.drawingml.chart+xml"/>
  <Override PartName="/word/theme/themeOverride32.xml" ContentType="application/vnd.openxmlformats-officedocument.themeOverride+xml"/>
  <Override PartName="/word/charts/chart43.xml" ContentType="application/vnd.openxmlformats-officedocument.drawingml.chart+xml"/>
  <Override PartName="/word/theme/themeOverride33.xml" ContentType="application/vnd.openxmlformats-officedocument.themeOverride+xml"/>
  <Override PartName="/word/charts/chart44.xml" ContentType="application/vnd.openxmlformats-officedocument.drawingml.chart+xml"/>
  <Override PartName="/word/theme/themeOverride34.xml" ContentType="application/vnd.openxmlformats-officedocument.themeOverride+xml"/>
  <Override PartName="/word/charts/chart45.xml" ContentType="application/vnd.openxmlformats-officedocument.drawingml.chart+xml"/>
  <Override PartName="/word/theme/themeOverride35.xml" ContentType="application/vnd.openxmlformats-officedocument.themeOverride+xml"/>
  <Override PartName="/word/charts/chart46.xml" ContentType="application/vnd.openxmlformats-officedocument.drawingml.chart+xml"/>
  <Override PartName="/word/theme/themeOverride36.xml" ContentType="application/vnd.openxmlformats-officedocument.themeOverride+xml"/>
  <Override PartName="/word/charts/chart47.xml" ContentType="application/vnd.openxmlformats-officedocument.drawingml.chart+xml"/>
  <Override PartName="/word/theme/themeOverride37.xml" ContentType="application/vnd.openxmlformats-officedocument.themeOverride+xml"/>
  <Override PartName="/word/charts/chart48.xml" ContentType="application/vnd.openxmlformats-officedocument.drawingml.chart+xml"/>
  <Override PartName="/word/theme/themeOverride38.xml" ContentType="application/vnd.openxmlformats-officedocument.themeOverride+xml"/>
  <Override PartName="/word/charts/chart49.xml" ContentType="application/vnd.openxmlformats-officedocument.drawingml.chart+xml"/>
  <Override PartName="/word/theme/themeOverride39.xml" ContentType="application/vnd.openxmlformats-officedocument.themeOverride+xml"/>
  <Override PartName="/word/charts/chart50.xml" ContentType="application/vnd.openxmlformats-officedocument.drawingml.chart+xml"/>
  <Override PartName="/word/theme/themeOverride40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5F7" w:rsidRPr="00E23A46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DC3264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C3264">
        <w:rPr>
          <w:rFonts w:ascii="Times New Roman" w:hAnsi="Times New Roman"/>
          <w:b/>
          <w:sz w:val="48"/>
          <w:szCs w:val="48"/>
        </w:rPr>
        <w:t>Отчет</w:t>
      </w:r>
    </w:p>
    <w:p w:rsidR="0011665C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C3264">
        <w:rPr>
          <w:rFonts w:ascii="Times New Roman" w:hAnsi="Times New Roman"/>
          <w:b/>
          <w:sz w:val="48"/>
          <w:szCs w:val="48"/>
        </w:rPr>
        <w:t xml:space="preserve">«Состояние и развитие </w:t>
      </w:r>
      <w:proofErr w:type="gramStart"/>
      <w:r w:rsidRPr="00DC3264">
        <w:rPr>
          <w:rFonts w:ascii="Times New Roman" w:hAnsi="Times New Roman"/>
          <w:b/>
          <w:sz w:val="48"/>
          <w:szCs w:val="48"/>
        </w:rPr>
        <w:t>конкурентной</w:t>
      </w:r>
      <w:proofErr w:type="gramEnd"/>
      <w:r w:rsidRPr="00DC3264">
        <w:rPr>
          <w:rFonts w:ascii="Times New Roman" w:hAnsi="Times New Roman"/>
          <w:b/>
          <w:sz w:val="48"/>
          <w:szCs w:val="48"/>
        </w:rPr>
        <w:t xml:space="preserve"> </w:t>
      </w: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C3264">
        <w:rPr>
          <w:rFonts w:ascii="Times New Roman" w:hAnsi="Times New Roman"/>
          <w:b/>
          <w:sz w:val="48"/>
          <w:szCs w:val="48"/>
        </w:rPr>
        <w:t>среды на рынках товаров</w:t>
      </w:r>
      <w:r w:rsidR="006464F9">
        <w:rPr>
          <w:rFonts w:ascii="Times New Roman" w:hAnsi="Times New Roman"/>
          <w:b/>
          <w:sz w:val="48"/>
          <w:szCs w:val="48"/>
        </w:rPr>
        <w:t>, работ</w:t>
      </w:r>
      <w:r w:rsidRPr="00DC3264">
        <w:rPr>
          <w:rFonts w:ascii="Times New Roman" w:hAnsi="Times New Roman"/>
          <w:b/>
          <w:sz w:val="48"/>
          <w:szCs w:val="48"/>
        </w:rPr>
        <w:t xml:space="preserve"> и услуг</w:t>
      </w:r>
    </w:p>
    <w:p w:rsidR="0011665C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на территории </w:t>
      </w:r>
      <w:proofErr w:type="gramStart"/>
      <w:r>
        <w:rPr>
          <w:rFonts w:ascii="Times New Roman" w:hAnsi="Times New Roman"/>
          <w:b/>
          <w:sz w:val="48"/>
          <w:szCs w:val="48"/>
        </w:rPr>
        <w:t>муниципального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683BEE" w:rsidRPr="00DC3264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образования Тимашевский район</w:t>
      </w:r>
      <w:r w:rsidR="00683BEE" w:rsidRPr="00DC3264">
        <w:rPr>
          <w:rFonts w:ascii="Times New Roman" w:hAnsi="Times New Roman"/>
          <w:b/>
          <w:sz w:val="48"/>
          <w:szCs w:val="48"/>
        </w:rPr>
        <w:t>»</w:t>
      </w:r>
    </w:p>
    <w:p w:rsidR="0011665C" w:rsidRDefault="0011665C" w:rsidP="0011665C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2016 году</w:t>
      </w: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276" w:rsidRDefault="00A2427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5F7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5F7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5F7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5F7" w:rsidRDefault="001665F7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65C" w:rsidRDefault="0011665C" w:rsidP="00683BEE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36"/>
        </w:rPr>
      </w:pPr>
      <w:r w:rsidRPr="00E23A46"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946"/>
        <w:gridCol w:w="992"/>
      </w:tblGrid>
      <w:tr w:rsidR="00A8121C" w:rsidRPr="004F03C8" w:rsidTr="00894445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683BEE" w:rsidRPr="00A24276" w:rsidRDefault="00683BEE" w:rsidP="0011665C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276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995311" w:rsidRPr="00A24276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внедрению составляющих Стандарта развития конкуренции на территории муниципального образования </w:t>
            </w:r>
            <w:r w:rsidR="0011665C">
              <w:rPr>
                <w:rFonts w:ascii="Times New Roman" w:hAnsi="Times New Roman"/>
                <w:sz w:val="28"/>
                <w:szCs w:val="28"/>
              </w:rPr>
              <w:t>Т</w:t>
            </w:r>
            <w:r w:rsidR="0011665C">
              <w:rPr>
                <w:rFonts w:ascii="Times New Roman" w:hAnsi="Times New Roman"/>
                <w:sz w:val="28"/>
                <w:szCs w:val="28"/>
              </w:rPr>
              <w:t>и</w:t>
            </w:r>
            <w:r w:rsidR="0011665C">
              <w:rPr>
                <w:rFonts w:ascii="Times New Roman" w:hAnsi="Times New Roman"/>
                <w:sz w:val="28"/>
                <w:szCs w:val="28"/>
              </w:rPr>
              <w:t>машевский район</w:t>
            </w:r>
          </w:p>
        </w:tc>
        <w:tc>
          <w:tcPr>
            <w:tcW w:w="992" w:type="dxa"/>
            <w:noWrap/>
            <w:vAlign w:val="center"/>
          </w:tcPr>
          <w:p w:rsidR="00683BEE" w:rsidRPr="004F03C8" w:rsidRDefault="00894445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3-8</w:t>
            </w:r>
          </w:p>
        </w:tc>
      </w:tr>
      <w:tr w:rsidR="00A8121C" w:rsidRPr="004F03C8" w:rsidTr="00894445">
        <w:trPr>
          <w:trHeight w:val="900"/>
        </w:trPr>
        <w:tc>
          <w:tcPr>
            <w:tcW w:w="8946" w:type="dxa"/>
            <w:noWrap/>
            <w:vAlign w:val="center"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2. </w:t>
            </w:r>
            <w:r w:rsidR="004F03C8" w:rsidRPr="00A24276">
              <w:rPr>
                <w:rFonts w:ascii="Times New Roman" w:hAnsi="Times New Roman"/>
                <w:bCs/>
                <w:sz w:val="28"/>
                <w:szCs w:val="28"/>
              </w:rPr>
              <w:t>Состояние и развитие конкурентной среды на рынках товаров, работ и услуг.</w:t>
            </w:r>
          </w:p>
        </w:tc>
        <w:tc>
          <w:tcPr>
            <w:tcW w:w="992" w:type="dxa"/>
            <w:noWrap/>
            <w:vAlign w:val="center"/>
          </w:tcPr>
          <w:p w:rsidR="00683BEE" w:rsidRPr="00E51122" w:rsidRDefault="00894445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1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8-69</w:t>
            </w:r>
          </w:p>
        </w:tc>
      </w:tr>
      <w:tr w:rsidR="00A8121C" w:rsidRPr="004F03C8" w:rsidTr="00894445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616AC2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(«дорожная карта»)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соде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ствию развитию конкуренции и развитию конкурентной среды в мун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 образовании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Тимашевский район.</w:t>
            </w:r>
          </w:p>
        </w:tc>
        <w:tc>
          <w:tcPr>
            <w:tcW w:w="992" w:type="dxa"/>
            <w:noWrap/>
            <w:vAlign w:val="center"/>
          </w:tcPr>
          <w:p w:rsidR="00683BEE" w:rsidRPr="00E51122" w:rsidRDefault="00894445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1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69-70</w:t>
            </w:r>
          </w:p>
        </w:tc>
      </w:tr>
      <w:tr w:rsidR="00683BEE" w:rsidRPr="00E23A46" w:rsidTr="00894445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A8121C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Создание и реализация механизмов общественного </w:t>
            </w:r>
            <w:proofErr w:type="gramStart"/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субъектов естественных монополий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683BEE" w:rsidRPr="00E51122" w:rsidRDefault="00894445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11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70-79</w:t>
            </w:r>
          </w:p>
        </w:tc>
      </w:tr>
      <w:tr w:rsidR="00683BEE" w:rsidRPr="00E23A46" w:rsidTr="00894445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A24276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121C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Повышение уровня информированности субъектов предпр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нимательской деятельности и потребителей товаров, работ и услуг о с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стоянии конкурентной среды</w:t>
            </w:r>
            <w:r w:rsidR="00616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683BEE" w:rsidRPr="00E51122" w:rsidRDefault="00E51122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11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79-83</w:t>
            </w:r>
          </w:p>
        </w:tc>
      </w:tr>
      <w:tr w:rsidR="00683BEE" w:rsidRPr="00E23A46" w:rsidTr="00894445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A8121C"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Дополнительные комментарии со стороны муниципального образования («обратная связь»)</w:t>
            </w:r>
            <w:r w:rsidR="00616A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683BEE" w:rsidRPr="00E51122" w:rsidRDefault="00E51122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112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</w:tr>
      <w:tr w:rsidR="00683BEE" w:rsidRPr="00E23A46" w:rsidTr="00894445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92" w:type="dxa"/>
            <w:noWrap/>
            <w:vAlign w:val="center"/>
          </w:tcPr>
          <w:p w:rsidR="00683BEE" w:rsidRPr="00E23A46" w:rsidRDefault="00683BEE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A24276" w:rsidRDefault="00A24276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A8121C" w:rsidRDefault="00A8121C" w:rsidP="00CF4484">
      <w:pPr>
        <w:pStyle w:val="ConsPlusNormal"/>
        <w:ind w:right="-284"/>
        <w:jc w:val="center"/>
      </w:pPr>
    </w:p>
    <w:p w:rsidR="003F2252" w:rsidRDefault="003F2252" w:rsidP="00CF4484">
      <w:pPr>
        <w:pStyle w:val="ConsPlusNormal"/>
        <w:ind w:right="-284"/>
        <w:jc w:val="center"/>
      </w:pPr>
    </w:p>
    <w:p w:rsidR="003F2252" w:rsidRDefault="003F2252" w:rsidP="00CF4484">
      <w:pPr>
        <w:pStyle w:val="ConsPlusNormal"/>
        <w:ind w:right="-284"/>
        <w:jc w:val="center"/>
      </w:pPr>
    </w:p>
    <w:p w:rsidR="00182682" w:rsidRDefault="00182682" w:rsidP="003F2252">
      <w:pPr>
        <w:pStyle w:val="ConsPlusNormal"/>
        <w:ind w:right="-284"/>
        <w:contextualSpacing/>
        <w:jc w:val="both"/>
      </w:pPr>
    </w:p>
    <w:p w:rsidR="003F2252" w:rsidRDefault="003F2252" w:rsidP="003F2252">
      <w:pPr>
        <w:pStyle w:val="ConsPlusNormal"/>
        <w:ind w:right="-284"/>
        <w:contextualSpacing/>
        <w:jc w:val="both"/>
        <w:rPr>
          <w:szCs w:val="28"/>
        </w:rPr>
      </w:pPr>
    </w:p>
    <w:p w:rsidR="00C434B4" w:rsidRDefault="00C434B4" w:rsidP="007E5E39">
      <w:pPr>
        <w:pStyle w:val="ConsPlusNormal"/>
        <w:ind w:right="-284" w:firstLine="709"/>
        <w:contextualSpacing/>
        <w:jc w:val="center"/>
        <w:rPr>
          <w:b/>
          <w:szCs w:val="28"/>
          <w:highlight w:val="green"/>
        </w:rPr>
      </w:pPr>
    </w:p>
    <w:p w:rsidR="00616AC2" w:rsidRPr="00C24CFA" w:rsidRDefault="00182682" w:rsidP="007E5E39">
      <w:pPr>
        <w:pStyle w:val="ConsPlusNormal"/>
        <w:ind w:right="-284" w:firstLine="709"/>
        <w:contextualSpacing/>
        <w:jc w:val="center"/>
        <w:rPr>
          <w:b/>
          <w:szCs w:val="28"/>
        </w:rPr>
      </w:pPr>
      <w:r w:rsidRPr="00C24CFA">
        <w:rPr>
          <w:b/>
          <w:szCs w:val="28"/>
        </w:rPr>
        <w:lastRenderedPageBreak/>
        <w:t xml:space="preserve">Раздел 1. Организация работы по внедрению составляющих Стандарта развития конкуренции на территории муниципального образования </w:t>
      </w:r>
    </w:p>
    <w:p w:rsidR="00182682" w:rsidRPr="00C24CFA" w:rsidRDefault="001665F7" w:rsidP="007E5E39">
      <w:pPr>
        <w:pStyle w:val="ConsPlusNormal"/>
        <w:ind w:right="-284" w:firstLine="709"/>
        <w:contextualSpacing/>
        <w:jc w:val="center"/>
        <w:rPr>
          <w:b/>
          <w:szCs w:val="28"/>
        </w:rPr>
      </w:pPr>
      <w:r w:rsidRPr="00C24CFA">
        <w:rPr>
          <w:b/>
          <w:szCs w:val="28"/>
        </w:rPr>
        <w:t>Тимашевский район</w:t>
      </w:r>
    </w:p>
    <w:p w:rsidR="007A61BE" w:rsidRPr="00C24CFA" w:rsidRDefault="007A61BE" w:rsidP="007A61BE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 xml:space="preserve">Развитие конкуренции – это основа существования и развития рыночной экономики, </w:t>
      </w:r>
      <w:r w:rsidRPr="00C24CFA">
        <w:rPr>
          <w:rFonts w:ascii="Times New Roman" w:hAnsi="Times New Roman"/>
          <w:color w:val="000000"/>
          <w:sz w:val="28"/>
          <w:szCs w:val="28"/>
        </w:rPr>
        <w:t>естественное состояние рыночных отношений, при котором их субъекты побуждаются к активной предпринимательской деятельности. Пр</w:t>
      </w:r>
      <w:r w:rsidRPr="00C24CFA">
        <w:rPr>
          <w:rFonts w:ascii="Times New Roman" w:hAnsi="Times New Roman"/>
          <w:color w:val="000000"/>
          <w:sz w:val="28"/>
          <w:szCs w:val="28"/>
        </w:rPr>
        <w:t>о</w:t>
      </w:r>
      <w:r w:rsidRPr="00C24CFA">
        <w:rPr>
          <w:rFonts w:ascii="Times New Roman" w:hAnsi="Times New Roman"/>
          <w:color w:val="000000"/>
          <w:sz w:val="28"/>
          <w:szCs w:val="28"/>
        </w:rPr>
        <w:t>блема создания условий для ее развития чрезвычайно важна для экономики Тимашевского района, Краснодарского края и Российской Федерации в целом.</w:t>
      </w:r>
    </w:p>
    <w:p w:rsidR="007A61BE" w:rsidRPr="00C24CFA" w:rsidRDefault="007A61BE" w:rsidP="007A61BE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Целью 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Стандарта на территории муниципального образов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Тимашевский район является установление системного и единообразного подхода к осуществлению взаимодействия органов исполнительной власти Краснодарского края и органов местного самоуправления Тимашевского рай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для развития конкуренции между хозяйствующими субъектами в отраслях экономики района с агропромышленной направленностью.</w:t>
      </w:r>
    </w:p>
    <w:p w:rsidR="007A61BE" w:rsidRPr="00C24CFA" w:rsidRDefault="007A61BE" w:rsidP="007A6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>Органы местного самоуправления муниципального образования Тимаше</w:t>
      </w:r>
      <w:r w:rsidRPr="00C24CFA">
        <w:rPr>
          <w:rFonts w:ascii="Times New Roman" w:hAnsi="Times New Roman"/>
          <w:bCs/>
          <w:sz w:val="28"/>
          <w:szCs w:val="28"/>
        </w:rPr>
        <w:t>в</w:t>
      </w:r>
      <w:r w:rsidRPr="00C24CFA">
        <w:rPr>
          <w:rFonts w:ascii="Times New Roman" w:hAnsi="Times New Roman"/>
          <w:bCs/>
          <w:sz w:val="28"/>
          <w:szCs w:val="28"/>
        </w:rPr>
        <w:t>ский район предпринимают меры по содействию развитию конкуренции на с</w:t>
      </w:r>
      <w:r w:rsidRPr="00C24CFA">
        <w:rPr>
          <w:rFonts w:ascii="Times New Roman" w:hAnsi="Times New Roman"/>
          <w:bCs/>
          <w:sz w:val="28"/>
          <w:szCs w:val="28"/>
        </w:rPr>
        <w:t>о</w:t>
      </w:r>
      <w:r w:rsidRPr="00C24CFA">
        <w:rPr>
          <w:rFonts w:ascii="Times New Roman" w:hAnsi="Times New Roman"/>
          <w:bCs/>
          <w:sz w:val="28"/>
          <w:szCs w:val="28"/>
        </w:rPr>
        <w:t xml:space="preserve">циально значимых и приоритетных рынках товаров, услуг, работ. </w:t>
      </w:r>
    </w:p>
    <w:p w:rsidR="00B63FE7" w:rsidRPr="00C24CFA" w:rsidRDefault="00B63FE7" w:rsidP="00A9584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proofErr w:type="gramStart"/>
      <w:r w:rsidRPr="00C24CFA">
        <w:rPr>
          <w:sz w:val="28"/>
          <w:szCs w:val="28"/>
        </w:rPr>
        <w:t>В целях обеспечения внедрения Стандарта развития конкуренции на терр</w:t>
      </w:r>
      <w:r w:rsidRPr="00C24CFA">
        <w:rPr>
          <w:sz w:val="28"/>
          <w:szCs w:val="28"/>
        </w:rPr>
        <w:t>и</w:t>
      </w:r>
      <w:r w:rsidRPr="00C24CFA">
        <w:rPr>
          <w:sz w:val="28"/>
          <w:szCs w:val="28"/>
        </w:rPr>
        <w:t>тории муниципального образования Тимашевский район, администрацией мун</w:t>
      </w:r>
      <w:r w:rsidRPr="00C24CFA">
        <w:rPr>
          <w:sz w:val="28"/>
          <w:szCs w:val="28"/>
        </w:rPr>
        <w:t>и</w:t>
      </w:r>
      <w:r w:rsidRPr="00C24CFA">
        <w:rPr>
          <w:sz w:val="28"/>
          <w:szCs w:val="28"/>
        </w:rPr>
        <w:t xml:space="preserve">ципального образования Тимашевский район </w:t>
      </w:r>
      <w:r w:rsidR="00577376" w:rsidRPr="00C24CFA">
        <w:rPr>
          <w:sz w:val="28"/>
          <w:szCs w:val="28"/>
        </w:rPr>
        <w:t>разработан и утвержден план мер</w:t>
      </w:r>
      <w:r w:rsidR="00577376" w:rsidRPr="00C24CFA">
        <w:rPr>
          <w:sz w:val="28"/>
          <w:szCs w:val="28"/>
        </w:rPr>
        <w:t>о</w:t>
      </w:r>
      <w:r w:rsidR="00577376" w:rsidRPr="00C24CFA">
        <w:rPr>
          <w:sz w:val="28"/>
          <w:szCs w:val="28"/>
        </w:rPr>
        <w:t xml:space="preserve">приятий («дорожная карта») по содействию развитию конкуренции и по развитию конкурентной среды на территории муниципального образования Тимашевский район до 2018 года и </w:t>
      </w:r>
      <w:r w:rsidR="007A61BE" w:rsidRPr="00C24CFA">
        <w:rPr>
          <w:sz w:val="28"/>
          <w:szCs w:val="28"/>
        </w:rPr>
        <w:t>создана рабочая группа по</w:t>
      </w:r>
      <w:r w:rsidR="007A61BE" w:rsidRPr="00C24CFA">
        <w:t xml:space="preserve"> </w:t>
      </w:r>
      <w:r w:rsidR="007A61BE" w:rsidRPr="00C24CFA">
        <w:rPr>
          <w:sz w:val="28"/>
          <w:szCs w:val="28"/>
        </w:rPr>
        <w:t>содействию развитию конкуре</w:t>
      </w:r>
      <w:r w:rsidR="007A61BE" w:rsidRPr="00C24CFA">
        <w:rPr>
          <w:sz w:val="28"/>
          <w:szCs w:val="28"/>
        </w:rPr>
        <w:t>н</w:t>
      </w:r>
      <w:r w:rsidR="007A61BE" w:rsidRPr="00C24CFA">
        <w:rPr>
          <w:sz w:val="28"/>
          <w:szCs w:val="28"/>
        </w:rPr>
        <w:t>ции на территории муниципального образования Тимашевский район (</w:t>
      </w:r>
      <w:r w:rsidRPr="00C24CFA">
        <w:rPr>
          <w:sz w:val="28"/>
          <w:szCs w:val="28"/>
        </w:rPr>
        <w:t>распор</w:t>
      </w:r>
      <w:r w:rsidRPr="00C24CFA">
        <w:rPr>
          <w:sz w:val="28"/>
          <w:szCs w:val="28"/>
        </w:rPr>
        <w:t>я</w:t>
      </w:r>
      <w:r w:rsidRPr="00C24CFA">
        <w:rPr>
          <w:sz w:val="28"/>
          <w:szCs w:val="28"/>
        </w:rPr>
        <w:t>жение от 22</w:t>
      </w:r>
      <w:proofErr w:type="gramEnd"/>
      <w:r w:rsidRPr="00C24CFA">
        <w:rPr>
          <w:sz w:val="28"/>
          <w:szCs w:val="28"/>
        </w:rPr>
        <w:t xml:space="preserve"> ноября 2016 года № 335-р «О создании рабочей группы по соде</w:t>
      </w:r>
      <w:r w:rsidRPr="00C24CFA">
        <w:rPr>
          <w:sz w:val="28"/>
          <w:szCs w:val="28"/>
        </w:rPr>
        <w:t>й</w:t>
      </w:r>
      <w:r w:rsidRPr="00C24CFA">
        <w:rPr>
          <w:sz w:val="28"/>
          <w:szCs w:val="28"/>
        </w:rPr>
        <w:t>ствию развитию конкуренции на территории муниципального образования Тим</w:t>
      </w:r>
      <w:r w:rsidRPr="00C24CFA">
        <w:rPr>
          <w:sz w:val="28"/>
          <w:szCs w:val="28"/>
        </w:rPr>
        <w:t>а</w:t>
      </w:r>
      <w:r w:rsidRPr="00C24CFA">
        <w:rPr>
          <w:sz w:val="28"/>
          <w:szCs w:val="28"/>
        </w:rPr>
        <w:t>шевский район»</w:t>
      </w:r>
      <w:r w:rsidR="007A61BE" w:rsidRPr="00C24CFA">
        <w:rPr>
          <w:sz w:val="28"/>
          <w:szCs w:val="28"/>
        </w:rPr>
        <w:t>).</w:t>
      </w:r>
    </w:p>
    <w:p w:rsidR="00B63FE7" w:rsidRPr="00C24CFA" w:rsidRDefault="00B63FE7" w:rsidP="00A9584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r w:rsidRPr="00C24CFA">
        <w:rPr>
          <w:sz w:val="28"/>
          <w:szCs w:val="28"/>
        </w:rPr>
        <w:t>В состав рабочей группы входят специалисты и начальники отделов (упра</w:t>
      </w:r>
      <w:r w:rsidRPr="00C24CFA">
        <w:rPr>
          <w:sz w:val="28"/>
          <w:szCs w:val="28"/>
        </w:rPr>
        <w:t>в</w:t>
      </w:r>
      <w:r w:rsidRPr="00C24CFA">
        <w:rPr>
          <w:sz w:val="28"/>
          <w:szCs w:val="28"/>
        </w:rPr>
        <w:t xml:space="preserve">лений) </w:t>
      </w:r>
      <w:r w:rsidR="00F85F0C" w:rsidRPr="00C24CFA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C24CFA">
        <w:rPr>
          <w:sz w:val="28"/>
          <w:szCs w:val="28"/>
        </w:rPr>
        <w:t xml:space="preserve"> а та</w:t>
      </w:r>
      <w:r w:rsidRPr="00C24CFA">
        <w:rPr>
          <w:sz w:val="28"/>
          <w:szCs w:val="28"/>
        </w:rPr>
        <w:t>к</w:t>
      </w:r>
      <w:r w:rsidRPr="00C24CFA">
        <w:rPr>
          <w:sz w:val="28"/>
          <w:szCs w:val="28"/>
        </w:rPr>
        <w:t>же заместители главы муниципального образования Тимашевск</w:t>
      </w:r>
      <w:r w:rsidR="00F85F0C" w:rsidRPr="00C24CFA">
        <w:rPr>
          <w:sz w:val="28"/>
          <w:szCs w:val="28"/>
        </w:rPr>
        <w:t>ий район, отве</w:t>
      </w:r>
      <w:r w:rsidR="00F85F0C" w:rsidRPr="00C24CFA">
        <w:rPr>
          <w:sz w:val="28"/>
          <w:szCs w:val="28"/>
        </w:rPr>
        <w:t>т</w:t>
      </w:r>
      <w:r w:rsidR="00F85F0C" w:rsidRPr="00C24CFA">
        <w:rPr>
          <w:sz w:val="28"/>
          <w:szCs w:val="28"/>
        </w:rPr>
        <w:t>ственные за данно</w:t>
      </w:r>
      <w:r w:rsidRPr="00C24CFA">
        <w:rPr>
          <w:sz w:val="28"/>
          <w:szCs w:val="28"/>
        </w:rPr>
        <w:t>е направлени</w:t>
      </w:r>
      <w:r w:rsidR="00F85F0C" w:rsidRPr="00C24CFA">
        <w:rPr>
          <w:sz w:val="28"/>
          <w:szCs w:val="28"/>
        </w:rPr>
        <w:t>е</w:t>
      </w:r>
      <w:r w:rsidRPr="00C24CFA">
        <w:rPr>
          <w:sz w:val="28"/>
          <w:szCs w:val="28"/>
        </w:rPr>
        <w:t xml:space="preserve"> работы.</w:t>
      </w:r>
    </w:p>
    <w:p w:rsidR="004154E1" w:rsidRPr="00C24CFA" w:rsidRDefault="00DD29F8" w:rsidP="00A9584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r w:rsidRPr="00C24CFA">
        <w:rPr>
          <w:sz w:val="28"/>
          <w:szCs w:val="28"/>
        </w:rPr>
        <w:t>Отдел</w:t>
      </w:r>
      <w:r w:rsidR="004154E1" w:rsidRPr="00C24CFA">
        <w:rPr>
          <w:sz w:val="28"/>
          <w:szCs w:val="28"/>
        </w:rPr>
        <w:t xml:space="preserve"> экономики и прогнозирования администрации муниципального обр</w:t>
      </w:r>
      <w:r w:rsidR="004154E1" w:rsidRPr="00C24CFA">
        <w:rPr>
          <w:sz w:val="28"/>
          <w:szCs w:val="28"/>
        </w:rPr>
        <w:t>а</w:t>
      </w:r>
      <w:r w:rsidR="004154E1" w:rsidRPr="00C24CFA">
        <w:rPr>
          <w:sz w:val="28"/>
          <w:szCs w:val="28"/>
        </w:rPr>
        <w:t>зования Тимашевский район осуществляет координацию деятельности по испо</w:t>
      </w:r>
      <w:r w:rsidR="004154E1" w:rsidRPr="00C24CFA">
        <w:rPr>
          <w:sz w:val="28"/>
          <w:szCs w:val="28"/>
        </w:rPr>
        <w:t>л</w:t>
      </w:r>
      <w:r w:rsidR="004154E1" w:rsidRPr="00C24CFA">
        <w:rPr>
          <w:sz w:val="28"/>
          <w:szCs w:val="28"/>
        </w:rPr>
        <w:t>нению мероприятий по содействию развитию конкуренции на территории мун</w:t>
      </w:r>
      <w:r w:rsidR="004154E1" w:rsidRPr="00C24CFA">
        <w:rPr>
          <w:sz w:val="28"/>
          <w:szCs w:val="28"/>
        </w:rPr>
        <w:t>и</w:t>
      </w:r>
      <w:r w:rsidR="004154E1" w:rsidRPr="00C24CFA">
        <w:rPr>
          <w:sz w:val="28"/>
          <w:szCs w:val="28"/>
        </w:rPr>
        <w:t>ципального образования Тимашевский район.</w:t>
      </w:r>
    </w:p>
    <w:p w:rsidR="00952904" w:rsidRPr="00C24CFA" w:rsidRDefault="00DD29F8" w:rsidP="00DD29F8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r w:rsidRPr="00C24CFA">
        <w:rPr>
          <w:sz w:val="28"/>
          <w:szCs w:val="28"/>
        </w:rPr>
        <w:t xml:space="preserve">Ответственными лицами по вопросу </w:t>
      </w:r>
      <w:r w:rsidR="00952904" w:rsidRPr="00C24CFA">
        <w:rPr>
          <w:sz w:val="28"/>
          <w:szCs w:val="28"/>
        </w:rPr>
        <w:t>внедрения стандарта развития конк</w:t>
      </w:r>
      <w:r w:rsidR="00952904" w:rsidRPr="00C24CFA">
        <w:rPr>
          <w:sz w:val="28"/>
          <w:szCs w:val="28"/>
        </w:rPr>
        <w:t>у</w:t>
      </w:r>
      <w:r w:rsidR="00952904" w:rsidRPr="00C24CFA">
        <w:rPr>
          <w:sz w:val="28"/>
          <w:szCs w:val="28"/>
        </w:rPr>
        <w:t>ренции в муниципально</w:t>
      </w:r>
      <w:r w:rsidRPr="00C24CFA">
        <w:rPr>
          <w:sz w:val="28"/>
          <w:szCs w:val="28"/>
        </w:rPr>
        <w:t>м образовании Тимашевский район являются:</w:t>
      </w:r>
    </w:p>
    <w:p w:rsidR="006143E4" w:rsidRPr="00C24CFA" w:rsidRDefault="006143E4" w:rsidP="006143E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r w:rsidRPr="00C24CFA">
        <w:rPr>
          <w:color w:val="000000"/>
          <w:sz w:val="28"/>
          <w:szCs w:val="28"/>
          <w:lang w:eastAsia="ru-RU"/>
        </w:rPr>
        <w:t>Репях Игорь Борисович</w:t>
      </w:r>
      <w:r w:rsidR="004154E1" w:rsidRPr="00C24CFA">
        <w:rPr>
          <w:sz w:val="28"/>
          <w:szCs w:val="28"/>
        </w:rPr>
        <w:t xml:space="preserve"> – з</w:t>
      </w:r>
      <w:r w:rsidRPr="00C24CFA">
        <w:rPr>
          <w:sz w:val="28"/>
          <w:szCs w:val="28"/>
        </w:rPr>
        <w:t>аместитель главы МО Тимашевский район</w:t>
      </w:r>
      <w:r w:rsidR="004154E1" w:rsidRPr="00C24CFA">
        <w:rPr>
          <w:sz w:val="28"/>
          <w:szCs w:val="28"/>
        </w:rPr>
        <w:t>, тел</w:t>
      </w:r>
      <w:r w:rsidR="004154E1" w:rsidRPr="00C24CFA">
        <w:rPr>
          <w:sz w:val="28"/>
          <w:szCs w:val="28"/>
        </w:rPr>
        <w:t>е</w:t>
      </w:r>
      <w:r w:rsidR="004154E1" w:rsidRPr="00C24CFA">
        <w:rPr>
          <w:sz w:val="28"/>
          <w:szCs w:val="28"/>
        </w:rPr>
        <w:t>фон 8-86130-42142;</w:t>
      </w:r>
    </w:p>
    <w:p w:rsidR="004154E1" w:rsidRPr="00C24CFA" w:rsidRDefault="004154E1" w:rsidP="006143E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C24CFA">
        <w:rPr>
          <w:color w:val="000000"/>
          <w:sz w:val="28"/>
          <w:szCs w:val="28"/>
          <w:lang w:eastAsia="ru-RU"/>
        </w:rPr>
        <w:t>Остапенко Марина Анатольевна – начальник отдела экономики и прогноз</w:t>
      </w:r>
      <w:r w:rsidRPr="00C24CFA">
        <w:rPr>
          <w:color w:val="000000"/>
          <w:sz w:val="28"/>
          <w:szCs w:val="28"/>
          <w:lang w:eastAsia="ru-RU"/>
        </w:rPr>
        <w:t>и</w:t>
      </w:r>
      <w:r w:rsidRPr="00C24CFA">
        <w:rPr>
          <w:color w:val="000000"/>
          <w:sz w:val="28"/>
          <w:szCs w:val="28"/>
          <w:lang w:eastAsia="ru-RU"/>
        </w:rPr>
        <w:t>рования администрации муниципального образования Тимашевский район, тел</w:t>
      </w:r>
      <w:r w:rsidRPr="00C24CFA">
        <w:rPr>
          <w:color w:val="000000"/>
          <w:sz w:val="28"/>
          <w:szCs w:val="28"/>
          <w:lang w:eastAsia="ru-RU"/>
        </w:rPr>
        <w:t>е</w:t>
      </w:r>
      <w:r w:rsidRPr="00C24CFA">
        <w:rPr>
          <w:color w:val="000000"/>
          <w:sz w:val="28"/>
          <w:szCs w:val="28"/>
          <w:lang w:eastAsia="ru-RU"/>
        </w:rPr>
        <w:t>фон 8-86130-41286;</w:t>
      </w:r>
    </w:p>
    <w:p w:rsidR="004154E1" w:rsidRPr="00C24CFA" w:rsidRDefault="004154E1" w:rsidP="006143E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24CFA">
        <w:rPr>
          <w:color w:val="000000"/>
          <w:sz w:val="28"/>
          <w:szCs w:val="28"/>
          <w:lang w:eastAsia="ru-RU"/>
        </w:rPr>
        <w:t>Казас</w:t>
      </w:r>
      <w:proofErr w:type="spellEnd"/>
      <w:r w:rsidRPr="00C24CFA">
        <w:rPr>
          <w:color w:val="000000"/>
          <w:sz w:val="28"/>
          <w:szCs w:val="28"/>
          <w:lang w:eastAsia="ru-RU"/>
        </w:rPr>
        <w:t xml:space="preserve"> Жанна </w:t>
      </w:r>
      <w:proofErr w:type="spellStart"/>
      <w:r w:rsidRPr="00C24CFA">
        <w:rPr>
          <w:color w:val="000000"/>
          <w:sz w:val="28"/>
          <w:szCs w:val="28"/>
          <w:lang w:eastAsia="ru-RU"/>
        </w:rPr>
        <w:t>Сартибовна</w:t>
      </w:r>
      <w:proofErr w:type="spellEnd"/>
      <w:r w:rsidRPr="00C24CFA">
        <w:rPr>
          <w:color w:val="000000"/>
          <w:sz w:val="28"/>
          <w:szCs w:val="28"/>
          <w:lang w:eastAsia="ru-RU"/>
        </w:rPr>
        <w:t xml:space="preserve"> - ведущий специалист отдела экономики и прогн</w:t>
      </w:r>
      <w:r w:rsidRPr="00C24CFA">
        <w:rPr>
          <w:color w:val="000000"/>
          <w:sz w:val="28"/>
          <w:szCs w:val="28"/>
          <w:lang w:eastAsia="ru-RU"/>
        </w:rPr>
        <w:t>о</w:t>
      </w:r>
      <w:r w:rsidRPr="00C24CFA">
        <w:rPr>
          <w:color w:val="000000"/>
          <w:sz w:val="28"/>
          <w:szCs w:val="28"/>
          <w:lang w:eastAsia="ru-RU"/>
        </w:rPr>
        <w:t>зирования администрации муниципального образования Тимашевский район, т</w:t>
      </w:r>
      <w:r w:rsidRPr="00C24CFA">
        <w:rPr>
          <w:color w:val="000000"/>
          <w:sz w:val="28"/>
          <w:szCs w:val="28"/>
          <w:lang w:eastAsia="ru-RU"/>
        </w:rPr>
        <w:t>е</w:t>
      </w:r>
      <w:r w:rsidRPr="00C24CFA">
        <w:rPr>
          <w:color w:val="000000"/>
          <w:sz w:val="28"/>
          <w:szCs w:val="28"/>
          <w:lang w:eastAsia="ru-RU"/>
        </w:rPr>
        <w:t>лефон 8-86130-41333</w:t>
      </w:r>
      <w:r w:rsidR="00DD29F8" w:rsidRPr="00C24CFA">
        <w:rPr>
          <w:color w:val="000000"/>
          <w:sz w:val="28"/>
          <w:szCs w:val="28"/>
          <w:lang w:eastAsia="ru-RU"/>
        </w:rPr>
        <w:t>.</w:t>
      </w:r>
    </w:p>
    <w:p w:rsidR="00DD29F8" w:rsidRPr="00C24CFA" w:rsidRDefault="00DD29F8" w:rsidP="00577376">
      <w:pPr>
        <w:pStyle w:val="2"/>
        <w:spacing w:line="240" w:lineRule="auto"/>
        <w:ind w:right="-284"/>
        <w:contextualSpacing/>
        <w:jc w:val="both"/>
        <w:rPr>
          <w:color w:val="000000"/>
          <w:sz w:val="28"/>
          <w:szCs w:val="28"/>
          <w:lang w:eastAsia="ru-RU"/>
        </w:rPr>
      </w:pPr>
      <w:r w:rsidRPr="00C24CFA">
        <w:rPr>
          <w:color w:val="000000"/>
          <w:sz w:val="28"/>
          <w:szCs w:val="28"/>
          <w:lang w:eastAsia="ru-RU"/>
        </w:rPr>
        <w:tab/>
        <w:t xml:space="preserve">В декабре 2016 года (26.12.2016) состоялось заседание рабочей группы </w:t>
      </w:r>
      <w:r w:rsidR="00577376" w:rsidRPr="00C24CFA">
        <w:rPr>
          <w:color w:val="000000"/>
          <w:sz w:val="28"/>
          <w:szCs w:val="28"/>
          <w:lang w:eastAsia="ru-RU"/>
        </w:rPr>
        <w:t xml:space="preserve">по </w:t>
      </w:r>
      <w:r w:rsidR="00577376" w:rsidRPr="00C24CFA">
        <w:rPr>
          <w:color w:val="000000"/>
          <w:sz w:val="28"/>
          <w:szCs w:val="28"/>
          <w:lang w:eastAsia="ru-RU"/>
        </w:rPr>
        <w:lastRenderedPageBreak/>
        <w:t xml:space="preserve">содействию развитию конкуренции на территории муниципального образования Тимашевский район, на котором рассматривались вопросы развития конкуренции, </w:t>
      </w:r>
      <w:r w:rsidR="009B12AD" w:rsidRPr="00C24CFA">
        <w:rPr>
          <w:color w:val="000000"/>
          <w:sz w:val="28"/>
          <w:szCs w:val="28"/>
          <w:lang w:eastAsia="ru-RU"/>
        </w:rPr>
        <w:t xml:space="preserve">предварительные </w:t>
      </w:r>
      <w:r w:rsidR="00577376" w:rsidRPr="00C24CFA">
        <w:rPr>
          <w:color w:val="000000"/>
          <w:sz w:val="28"/>
          <w:szCs w:val="28"/>
          <w:lang w:eastAsia="ru-RU"/>
        </w:rPr>
        <w:t>итоги реализации плана мероприятий («дорожной карты</w:t>
      </w:r>
      <w:r w:rsidR="009B12AD" w:rsidRPr="00C24CFA">
        <w:rPr>
          <w:color w:val="000000"/>
          <w:sz w:val="28"/>
          <w:szCs w:val="28"/>
          <w:lang w:eastAsia="ru-RU"/>
        </w:rPr>
        <w:t>») по содействию развитию конкуренции и по развитию конкурентной среды на терр</w:t>
      </w:r>
      <w:r w:rsidR="009B12AD" w:rsidRPr="00C24CFA">
        <w:rPr>
          <w:color w:val="000000"/>
          <w:sz w:val="28"/>
          <w:szCs w:val="28"/>
          <w:lang w:eastAsia="ru-RU"/>
        </w:rPr>
        <w:t>и</w:t>
      </w:r>
      <w:r w:rsidR="009B12AD" w:rsidRPr="00C24CFA">
        <w:rPr>
          <w:color w:val="000000"/>
          <w:sz w:val="28"/>
          <w:szCs w:val="28"/>
          <w:lang w:eastAsia="ru-RU"/>
        </w:rPr>
        <w:t>тории района за 2016 год.</w:t>
      </w:r>
    </w:p>
    <w:p w:rsidR="0020006E" w:rsidRPr="00C24CFA" w:rsidRDefault="00024279" w:rsidP="00A95844">
      <w:pPr>
        <w:pStyle w:val="2"/>
        <w:tabs>
          <w:tab w:val="left" w:pos="1134"/>
        </w:tabs>
        <w:spacing w:line="240" w:lineRule="auto"/>
        <w:ind w:right="-284" w:firstLine="709"/>
        <w:contextualSpacing/>
        <w:jc w:val="both"/>
        <w:rPr>
          <w:sz w:val="28"/>
          <w:szCs w:val="28"/>
        </w:rPr>
      </w:pPr>
      <w:r w:rsidRPr="00C24CFA">
        <w:rPr>
          <w:sz w:val="28"/>
          <w:szCs w:val="28"/>
        </w:rPr>
        <w:t xml:space="preserve">Распоряжение о создании на территории муниципального образования </w:t>
      </w:r>
      <w:proofErr w:type="spellStart"/>
      <w:r w:rsidRPr="00C24CFA">
        <w:rPr>
          <w:sz w:val="28"/>
          <w:szCs w:val="28"/>
        </w:rPr>
        <w:t>Т</w:t>
      </w:r>
      <w:r w:rsidRPr="00C24CFA">
        <w:rPr>
          <w:sz w:val="28"/>
          <w:szCs w:val="28"/>
        </w:rPr>
        <w:t>и</w:t>
      </w:r>
      <w:r w:rsidRPr="00C24CFA">
        <w:rPr>
          <w:sz w:val="28"/>
          <w:szCs w:val="28"/>
        </w:rPr>
        <w:t>машевский</w:t>
      </w:r>
      <w:proofErr w:type="spellEnd"/>
      <w:r w:rsidRPr="00C24CFA">
        <w:rPr>
          <w:sz w:val="28"/>
          <w:szCs w:val="28"/>
        </w:rPr>
        <w:t xml:space="preserve"> район рабочей группы по содействию развитию конкуренции на те</w:t>
      </w:r>
      <w:r w:rsidRPr="00C24CFA">
        <w:rPr>
          <w:sz w:val="28"/>
          <w:szCs w:val="28"/>
        </w:rPr>
        <w:t>р</w:t>
      </w:r>
      <w:r w:rsidRPr="00C24CFA">
        <w:rPr>
          <w:sz w:val="28"/>
          <w:szCs w:val="28"/>
        </w:rPr>
        <w:t xml:space="preserve">ритории муниципального образования </w:t>
      </w:r>
      <w:proofErr w:type="spellStart"/>
      <w:r w:rsidRPr="00C24CFA">
        <w:rPr>
          <w:sz w:val="28"/>
          <w:szCs w:val="28"/>
        </w:rPr>
        <w:t>Тимашевский</w:t>
      </w:r>
      <w:proofErr w:type="spellEnd"/>
      <w:r w:rsidRPr="00C24CFA">
        <w:rPr>
          <w:sz w:val="28"/>
          <w:szCs w:val="28"/>
        </w:rPr>
        <w:t xml:space="preserve"> район размещено на офиц</w:t>
      </w:r>
      <w:r w:rsidRPr="00C24CFA">
        <w:rPr>
          <w:sz w:val="28"/>
          <w:szCs w:val="28"/>
        </w:rPr>
        <w:t>и</w:t>
      </w:r>
      <w:r w:rsidRPr="00C24CFA">
        <w:rPr>
          <w:sz w:val="28"/>
          <w:szCs w:val="28"/>
        </w:rPr>
        <w:t xml:space="preserve">альном сайте муниципального образования </w:t>
      </w:r>
      <w:proofErr w:type="spellStart"/>
      <w:r w:rsidRPr="00C24CFA">
        <w:rPr>
          <w:sz w:val="28"/>
          <w:szCs w:val="28"/>
        </w:rPr>
        <w:t>Тимашевский</w:t>
      </w:r>
      <w:proofErr w:type="spellEnd"/>
      <w:r w:rsidRPr="00C24CFA">
        <w:rPr>
          <w:sz w:val="28"/>
          <w:szCs w:val="28"/>
        </w:rPr>
        <w:t xml:space="preserve"> район </w:t>
      </w:r>
      <w:r w:rsidR="00DD29F8" w:rsidRPr="00C24CFA">
        <w:rPr>
          <w:sz w:val="28"/>
          <w:szCs w:val="28"/>
          <w:lang w:val="en-US"/>
        </w:rPr>
        <w:t>www</w:t>
      </w:r>
      <w:r w:rsidR="00DD29F8" w:rsidRPr="00C24CFA">
        <w:rPr>
          <w:sz w:val="28"/>
          <w:szCs w:val="28"/>
        </w:rPr>
        <w:t>.</w:t>
      </w:r>
      <w:proofErr w:type="spellStart"/>
      <w:r w:rsidR="00DD29F8" w:rsidRPr="00C24CFA">
        <w:rPr>
          <w:sz w:val="28"/>
          <w:szCs w:val="28"/>
          <w:lang w:val="en-US"/>
        </w:rPr>
        <w:t>timregion</w:t>
      </w:r>
      <w:proofErr w:type="spellEnd"/>
      <w:r w:rsidR="00DD29F8" w:rsidRPr="00C24CFA">
        <w:rPr>
          <w:sz w:val="28"/>
          <w:szCs w:val="28"/>
        </w:rPr>
        <w:t>.</w:t>
      </w:r>
      <w:proofErr w:type="spellStart"/>
      <w:r w:rsidR="00DD29F8" w:rsidRPr="00C24CFA">
        <w:rPr>
          <w:sz w:val="28"/>
          <w:szCs w:val="28"/>
          <w:lang w:val="en-US"/>
        </w:rPr>
        <w:t>ru</w:t>
      </w:r>
      <w:proofErr w:type="spellEnd"/>
      <w:r w:rsidR="00DD29F8" w:rsidRPr="00C24CFA">
        <w:rPr>
          <w:sz w:val="28"/>
          <w:szCs w:val="28"/>
        </w:rPr>
        <w:t xml:space="preserve"> </w:t>
      </w:r>
      <w:r w:rsidRPr="00C24CFA">
        <w:rPr>
          <w:sz w:val="28"/>
          <w:szCs w:val="28"/>
        </w:rPr>
        <w:t>в разделе «</w:t>
      </w:r>
      <w:r w:rsidR="00DD29F8" w:rsidRPr="00C24CFA">
        <w:rPr>
          <w:sz w:val="28"/>
          <w:szCs w:val="28"/>
        </w:rPr>
        <w:t>Стандарт развития конкуренции»/</w:t>
      </w:r>
      <w:r w:rsidRPr="00C24CFA">
        <w:rPr>
          <w:sz w:val="28"/>
          <w:szCs w:val="28"/>
        </w:rPr>
        <w:t>«Нормативно-правовая база».</w:t>
      </w:r>
    </w:p>
    <w:p w:rsidR="00A224BC" w:rsidRPr="00C24CFA" w:rsidRDefault="009B12AD" w:rsidP="00F50746">
      <w:pPr>
        <w:pStyle w:val="2"/>
        <w:spacing w:line="240" w:lineRule="auto"/>
        <w:ind w:right="-284"/>
        <w:contextualSpacing/>
        <w:jc w:val="both"/>
        <w:rPr>
          <w:sz w:val="28"/>
          <w:szCs w:val="28"/>
        </w:rPr>
      </w:pPr>
      <w:r w:rsidRPr="00C24CFA">
        <w:rPr>
          <w:sz w:val="28"/>
          <w:szCs w:val="28"/>
        </w:rPr>
        <w:tab/>
      </w:r>
      <w:proofErr w:type="gramStart"/>
      <w:r w:rsidRPr="00C24CFA">
        <w:rPr>
          <w:sz w:val="28"/>
          <w:szCs w:val="28"/>
        </w:rPr>
        <w:t>В</w:t>
      </w:r>
      <w:proofErr w:type="gramEnd"/>
      <w:r w:rsidRPr="00C24CFA">
        <w:rPr>
          <w:sz w:val="28"/>
          <w:szCs w:val="28"/>
        </w:rPr>
        <w:t xml:space="preserve"> </w:t>
      </w:r>
      <w:proofErr w:type="gramStart"/>
      <w:r w:rsidRPr="00C24CFA">
        <w:rPr>
          <w:sz w:val="28"/>
          <w:szCs w:val="28"/>
        </w:rPr>
        <w:t>Тимашевском</w:t>
      </w:r>
      <w:proofErr w:type="gramEnd"/>
      <w:r w:rsidRPr="00C24CFA">
        <w:rPr>
          <w:sz w:val="28"/>
          <w:szCs w:val="28"/>
        </w:rPr>
        <w:t xml:space="preserve"> районе в 2016 году реализованы мероприятия 14 муниц</w:t>
      </w:r>
      <w:r w:rsidRPr="00C24CFA">
        <w:rPr>
          <w:sz w:val="28"/>
          <w:szCs w:val="28"/>
        </w:rPr>
        <w:t>и</w:t>
      </w:r>
      <w:r w:rsidRPr="00C24CFA">
        <w:rPr>
          <w:sz w:val="28"/>
          <w:szCs w:val="28"/>
        </w:rPr>
        <w:t>пальных программ,</w:t>
      </w:r>
      <w:r w:rsidR="0040665B" w:rsidRPr="00C24CFA">
        <w:rPr>
          <w:sz w:val="28"/>
          <w:szCs w:val="28"/>
        </w:rPr>
        <w:t xml:space="preserve"> и более 40 муниципальных программ поселений Тимашевск</w:t>
      </w:r>
      <w:r w:rsidR="0040665B" w:rsidRPr="00C24CFA">
        <w:rPr>
          <w:sz w:val="28"/>
          <w:szCs w:val="28"/>
        </w:rPr>
        <w:t>о</w:t>
      </w:r>
      <w:r w:rsidR="0040665B" w:rsidRPr="00C24CFA">
        <w:rPr>
          <w:sz w:val="28"/>
          <w:szCs w:val="28"/>
        </w:rPr>
        <w:t xml:space="preserve">го района, </w:t>
      </w:r>
      <w:r w:rsidRPr="00C24CFA">
        <w:rPr>
          <w:sz w:val="28"/>
          <w:szCs w:val="28"/>
        </w:rPr>
        <w:t xml:space="preserve">которые предусматривали реализацию мероприятий по </w:t>
      </w:r>
      <w:r w:rsidR="0040665B" w:rsidRPr="00C24CFA">
        <w:rPr>
          <w:sz w:val="28"/>
          <w:szCs w:val="28"/>
        </w:rPr>
        <w:t>исполнению основных полномочий органов местного самоуправления</w:t>
      </w:r>
      <w:r w:rsidR="00F50746" w:rsidRPr="00C24CFA">
        <w:rPr>
          <w:sz w:val="28"/>
          <w:szCs w:val="28"/>
        </w:rPr>
        <w:t>, в том числе</w:t>
      </w:r>
      <w:r w:rsidR="0040665B" w:rsidRPr="00C24CFA">
        <w:rPr>
          <w:sz w:val="28"/>
          <w:szCs w:val="28"/>
        </w:rPr>
        <w:t xml:space="preserve"> </w:t>
      </w:r>
      <w:r w:rsidR="00F50746" w:rsidRPr="00C24CFA">
        <w:rPr>
          <w:sz w:val="28"/>
          <w:szCs w:val="28"/>
        </w:rPr>
        <w:t>вопросов, касающихся состояния и развития конкурентной среды на социально-значимых и приоритетных рынках товаров, работ, услуг.</w:t>
      </w:r>
    </w:p>
    <w:p w:rsidR="00F50746" w:rsidRPr="00C24CFA" w:rsidRDefault="00F50746" w:rsidP="00156C32">
      <w:pPr>
        <w:pStyle w:val="ConsPlusNormal"/>
        <w:tabs>
          <w:tab w:val="left" w:pos="1134"/>
        </w:tabs>
        <w:spacing w:before="120" w:after="120"/>
        <w:ind w:firstLine="709"/>
        <w:jc w:val="both"/>
      </w:pPr>
      <w:r w:rsidRPr="00C24CFA">
        <w:t>Реализация мероприятий осуществлялась в тесном взаимодействии с ИФНС№ 10 по Тимашевскому району, Тимашевским отделением ПФР, отдел ФССП по Тимашевскому району, ТОУ «</w:t>
      </w:r>
      <w:proofErr w:type="spellStart"/>
      <w:r w:rsidRPr="00C24CFA">
        <w:t>Роспотребнадзор</w:t>
      </w:r>
      <w:proofErr w:type="spellEnd"/>
      <w:r w:rsidRPr="00C24CFA">
        <w:t>»</w:t>
      </w:r>
      <w:r w:rsidR="008B7F75" w:rsidRPr="00C24CFA">
        <w:t xml:space="preserve">, ОМВД по </w:t>
      </w:r>
      <w:proofErr w:type="spellStart"/>
      <w:r w:rsidR="008B7F75" w:rsidRPr="00C24CFA">
        <w:t>Тим</w:t>
      </w:r>
      <w:r w:rsidR="008B7F75" w:rsidRPr="00C24CFA">
        <w:t>а</w:t>
      </w:r>
      <w:r w:rsidR="008B7F75" w:rsidRPr="00C24CFA">
        <w:t>шевскому</w:t>
      </w:r>
      <w:proofErr w:type="spellEnd"/>
      <w:r w:rsidR="008B7F75" w:rsidRPr="00C24CFA">
        <w:t xml:space="preserve"> району, ЦНЗ по Тимашевскому району, УСЗН Тимашевского района.</w:t>
      </w:r>
    </w:p>
    <w:p w:rsidR="00F50746" w:rsidRPr="00C24CFA" w:rsidRDefault="008B7F75" w:rsidP="006E6119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C24CFA">
        <w:t>Совместная работа была направлена на обеспечение исполнения и с</w:t>
      </w:r>
      <w:r w:rsidRPr="00C24CFA">
        <w:t>о</w:t>
      </w:r>
      <w:r w:rsidRPr="00C24CFA">
        <w:t>блюдения на территории района основных требований законодательства РФ, указов и распоряжений Президента Российской Федерации, постановлений Правительства Российской Федерации, нормативно правовых актов Краснода</w:t>
      </w:r>
      <w:r w:rsidRPr="00C24CFA">
        <w:t>р</w:t>
      </w:r>
      <w:r w:rsidRPr="00C24CFA">
        <w:t>ского края, органов местного самоуправления по вопросам развития конкуре</w:t>
      </w:r>
      <w:r w:rsidRPr="00C24CFA">
        <w:t>н</w:t>
      </w:r>
      <w:r w:rsidRPr="00C24CFA">
        <w:t>ции и совершенствования антимонопольной политики (</w:t>
      </w:r>
      <w:r w:rsidR="00156C32" w:rsidRPr="00C24CFA">
        <w:t>налоговое законод</w:t>
      </w:r>
      <w:r w:rsidR="00156C32" w:rsidRPr="00C24CFA">
        <w:t>а</w:t>
      </w:r>
      <w:r w:rsidR="00156C32" w:rsidRPr="00C24CFA">
        <w:t>тельство, трудовое законодательство, социальная стабильность, легализация бизнеса, правопорядок, антимонопольная политика).</w:t>
      </w:r>
      <w:proofErr w:type="gramEnd"/>
    </w:p>
    <w:p w:rsidR="00156C32" w:rsidRPr="00C24CFA" w:rsidRDefault="00156C32" w:rsidP="006E6119">
      <w:pPr>
        <w:pStyle w:val="ConsPlusNormal"/>
        <w:tabs>
          <w:tab w:val="left" w:pos="1134"/>
        </w:tabs>
        <w:ind w:firstLine="709"/>
        <w:jc w:val="both"/>
      </w:pPr>
      <w:r w:rsidRPr="00C24CFA">
        <w:t>В течение 2016 года органы местного самоуправления Тимашевского района активно взаимодействовали с Тимашевской ТПП, ассоциаци</w:t>
      </w:r>
      <w:r w:rsidR="006E6119" w:rsidRPr="00C24CFA">
        <w:t>ей КФХ. В районе функционируют Ц</w:t>
      </w:r>
      <w:r w:rsidRPr="00C24CFA">
        <w:t>ентр содействия развитию предпринимательства, с</w:t>
      </w:r>
      <w:r w:rsidRPr="00C24CFA">
        <w:t>о</w:t>
      </w:r>
      <w:r w:rsidRPr="00C24CFA">
        <w:t>зданный при Тимашевской ТПП, трехсторонняя комиссия по совершенствов</w:t>
      </w:r>
      <w:r w:rsidRPr="00C24CFA">
        <w:t>а</w:t>
      </w:r>
      <w:r w:rsidRPr="00C24CFA">
        <w:t xml:space="preserve">нию </w:t>
      </w:r>
      <w:r w:rsidR="006E6119" w:rsidRPr="00C24CFA">
        <w:t xml:space="preserve">и урегулированию </w:t>
      </w:r>
      <w:r w:rsidRPr="00C24CFA">
        <w:t>трудовых отношений хозяйствующих субъектов всех форм собственности.</w:t>
      </w:r>
      <w:r w:rsidR="006E6119" w:rsidRPr="00C24CFA">
        <w:t xml:space="preserve"> Данные структуры занимаются оказанием содействия в проведении информационно-разъяснительной работы по правовым, финанс</w:t>
      </w:r>
      <w:r w:rsidR="006E6119" w:rsidRPr="00C24CFA">
        <w:t>о</w:t>
      </w:r>
      <w:r w:rsidR="006E6119" w:rsidRPr="00C24CFA">
        <w:t>вым, социальным вопросам, в определении основных направлений совместной деятельности.</w:t>
      </w:r>
    </w:p>
    <w:p w:rsidR="003664B9" w:rsidRPr="00C24CFA" w:rsidRDefault="003664B9" w:rsidP="00366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муниципальном образовании Тимашевский район создан</w:t>
      </w: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по предпринимательству в муниципальном образовании Тимашевский район. С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вет возглавляет глава муниципального образования Тимашевский район. В с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став Совета входят должностные лица администрации МО, специалисты отра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левых (функциональных) отделов и управлений, представители бизнес – соо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щества, доля которых составляет более 50%.</w:t>
      </w:r>
    </w:p>
    <w:p w:rsidR="003664B9" w:rsidRPr="00C24CFA" w:rsidRDefault="003664B9" w:rsidP="00366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В 2016 году проведено 11 заседаний Совета по предпринимательству в муниципальном образовании Тимашевский район, на которых  были рассмо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рены проблемные вопросы предпринимательской деятельности, вопросы зак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нодательства в сфере ведения бизнеса и инвестиций, виды финансовой по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C24C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держки и другие. </w:t>
      </w:r>
      <w:proofErr w:type="gramEnd"/>
    </w:p>
    <w:p w:rsidR="003664B9" w:rsidRPr="00C24CFA" w:rsidRDefault="003664B9" w:rsidP="003664B9">
      <w:pPr>
        <w:pStyle w:val="ConsPlusNormal"/>
        <w:tabs>
          <w:tab w:val="left" w:pos="1134"/>
        </w:tabs>
        <w:ind w:firstLine="709"/>
        <w:jc w:val="both"/>
      </w:pPr>
      <w:r w:rsidRPr="00C24CFA">
        <w:t>В районе организована работа «ящика доверия», через который предст</w:t>
      </w:r>
      <w:r w:rsidRPr="00C24CFA">
        <w:t>а</w:t>
      </w:r>
      <w:r w:rsidRPr="00C24CFA">
        <w:t>вители малого и среднего бизнеса могут обратиться с проблемными вопросами ведения бизнеса, исполнения отдельных норм законодательных актов. Курир</w:t>
      </w:r>
      <w:r w:rsidRPr="00C24CFA">
        <w:t>у</w:t>
      </w:r>
      <w:r w:rsidRPr="00C24CFA">
        <w:t>ет работу «ящика доверия» председатель Центра содействия развитию пре</w:t>
      </w:r>
      <w:r w:rsidRPr="00C24CFA">
        <w:t>д</w:t>
      </w:r>
      <w:r w:rsidRPr="00C24CFA">
        <w:t>принимательства, созданный при Тимашевской ТПП, все поступающие обр</w:t>
      </w:r>
      <w:r w:rsidRPr="00C24CFA">
        <w:t>а</w:t>
      </w:r>
      <w:r w:rsidRPr="00C24CFA">
        <w:t>щения рассматриваются на заседаниях Совета по предпринимательству при главе муниципального образования Тимашевский район с привлечением при необходимости территориальных органов федеральных органов исполнител</w:t>
      </w:r>
      <w:r w:rsidRPr="00C24CFA">
        <w:t>ь</w:t>
      </w:r>
      <w:r w:rsidRPr="00C24CFA">
        <w:t>ной власти.</w:t>
      </w:r>
    </w:p>
    <w:p w:rsidR="00156C32" w:rsidRPr="00C24CFA" w:rsidRDefault="00177815" w:rsidP="006D0E0F">
      <w:pPr>
        <w:pStyle w:val="ConsPlusNormal"/>
        <w:tabs>
          <w:tab w:val="left" w:pos="1134"/>
        </w:tabs>
        <w:ind w:firstLine="709"/>
        <w:jc w:val="both"/>
      </w:pPr>
      <w:r w:rsidRPr="00C24CFA">
        <w:rPr>
          <w:szCs w:val="28"/>
        </w:rPr>
        <w:t>При администрации муниципального образования Тимашевский район создан экспертный межведомственный инвестиционный Совет. В состав Совета входят должностные лица администрации МО, специалисты отраслевых (фун</w:t>
      </w:r>
      <w:r w:rsidRPr="00C24CFA">
        <w:rPr>
          <w:szCs w:val="28"/>
        </w:rPr>
        <w:t>к</w:t>
      </w:r>
      <w:r w:rsidRPr="00C24CFA">
        <w:rPr>
          <w:szCs w:val="28"/>
        </w:rPr>
        <w:t>циональных) отде</w:t>
      </w:r>
      <w:r w:rsidR="006D0E0F" w:rsidRPr="00C24CFA">
        <w:rPr>
          <w:szCs w:val="28"/>
        </w:rPr>
        <w:t>лов и управлений администрации.</w:t>
      </w:r>
    </w:p>
    <w:p w:rsidR="00156C32" w:rsidRPr="00C24CFA" w:rsidRDefault="00177815" w:rsidP="006D0E0F">
      <w:pPr>
        <w:pStyle w:val="ConsPlusNormal"/>
        <w:tabs>
          <w:tab w:val="left" w:pos="1134"/>
        </w:tabs>
        <w:ind w:firstLine="709"/>
        <w:jc w:val="both"/>
      </w:pPr>
      <w:r w:rsidRPr="00C24CFA">
        <w:t>В 201</w:t>
      </w:r>
      <w:r w:rsidR="003801B4" w:rsidRPr="00C24CFA">
        <w:t>6 году проведено 6 заседаний</w:t>
      </w:r>
      <w:r w:rsidRPr="00C24CFA">
        <w:t xml:space="preserve"> экспертного межведомственного и</w:t>
      </w:r>
      <w:r w:rsidRPr="00C24CFA">
        <w:t>н</w:t>
      </w:r>
      <w:r w:rsidRPr="00C24CFA">
        <w:t xml:space="preserve">вестиционного Совета, на </w:t>
      </w:r>
      <w:r w:rsidR="006D0E0F" w:rsidRPr="00C24CFA">
        <w:t>которых рассматривались вопросы</w:t>
      </w:r>
      <w:r w:rsidRPr="00C24CFA">
        <w:t xml:space="preserve"> </w:t>
      </w:r>
      <w:r w:rsidR="006D0E0F" w:rsidRPr="00C24CFA">
        <w:t>инвестиционного развития</w:t>
      </w:r>
      <w:r w:rsidRPr="00C24CFA">
        <w:t xml:space="preserve"> район</w:t>
      </w:r>
      <w:r w:rsidR="006D0E0F" w:rsidRPr="00C24CFA">
        <w:t>а,</w:t>
      </w:r>
      <w:r w:rsidRPr="00C24CFA">
        <w:t xml:space="preserve"> </w:t>
      </w:r>
      <w:r w:rsidR="003664B9" w:rsidRPr="00C24CFA">
        <w:t xml:space="preserve">проблемы при </w:t>
      </w:r>
      <w:r w:rsidRPr="00C24CFA">
        <w:t>реализации инвестиционных проектов в рамках заключенных с инвест</w:t>
      </w:r>
      <w:r w:rsidR="006D0E0F" w:rsidRPr="00C24CFA">
        <w:t>орами инвестиционных соглашений</w:t>
      </w:r>
      <w:r w:rsidR="003664B9" w:rsidRPr="00C24CFA">
        <w:t xml:space="preserve"> (создание инжене</w:t>
      </w:r>
      <w:r w:rsidR="003664B9" w:rsidRPr="00C24CFA">
        <w:t>р</w:t>
      </w:r>
      <w:r w:rsidR="003664B9" w:rsidRPr="00C24CFA">
        <w:t>ной инфраструктуры, подключение к ресурсным сетям, оформление земельно-правовых отношений)</w:t>
      </w:r>
      <w:r w:rsidR="006D0E0F" w:rsidRPr="00C24CFA">
        <w:t xml:space="preserve"> и др</w:t>
      </w:r>
      <w:r w:rsidRPr="00C24CFA">
        <w:t>.</w:t>
      </w:r>
    </w:p>
    <w:p w:rsidR="00177815" w:rsidRPr="00C24CFA" w:rsidRDefault="00177815" w:rsidP="00177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2015 году Тимашевский район Краснодарского края был включен в п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7-ми пилотных муниципальных образований Краснодарского края по апробации успешных муниципальных практик, направленных на развитие и поддержку малого и среднего предпринимательства на муниципальном уровне. </w:t>
      </w:r>
    </w:p>
    <w:p w:rsidR="00177815" w:rsidRPr="00C24CFA" w:rsidRDefault="00177815" w:rsidP="00177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417"/>
          <w:sz w:val="28"/>
          <w:szCs w:val="28"/>
          <w:lang w:eastAsia="ru-RU"/>
        </w:rPr>
      </w:pPr>
      <w:proofErr w:type="gramStart"/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Для согласования действий и координации усилий по пилотной апроб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ции успешных практик 25 мая 2016 года утвержден План мероприятий (доро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ж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ная карта) по внедрению успешных практик в муниципальном образовании Т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машевский район (далее – План мероприятий)</w:t>
      </w:r>
      <w:r w:rsidR="00AA3E3A" w:rsidRPr="00C24CFA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 xml:space="preserve">, который размещен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автомат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зированной системе управления проектами «Диалог», правообладателем кот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рой является АНО «Агентство стратегических инициатив по продвижению 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вых проектов» </w:t>
      </w:r>
      <w:r w:rsidRPr="00C24C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Pr="00C24CFA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https://sup.asi.ru</w:t>
        </w:r>
      </w:hyperlink>
      <w:r w:rsidRPr="00C24C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177815" w:rsidRPr="00C24CFA" w:rsidRDefault="00177815" w:rsidP="002D3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417"/>
          <w:sz w:val="28"/>
          <w:szCs w:val="28"/>
          <w:lang w:eastAsia="ru-RU"/>
        </w:rPr>
      </w:pPr>
      <w:proofErr w:type="gramStart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Тимашевский район</w:t>
      </w:r>
      <w:r w:rsidR="002D3FB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</w:t>
      </w:r>
      <w:r w:rsidR="002D3FB9" w:rsidRPr="00C24CF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3FB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ряются 14 успешных практик, которые направлены на решение стратегических задач в сфере повышения инвестиционной привлекательности, привлечения в район инвестиций, </w:t>
      </w:r>
      <w:r w:rsidR="00412D9B" w:rsidRPr="00C24CFA">
        <w:rPr>
          <w:rFonts w:ascii="Times New Roman" w:eastAsia="Times New Roman" w:hAnsi="Times New Roman"/>
          <w:sz w:val="28"/>
          <w:szCs w:val="28"/>
          <w:lang w:eastAsia="ru-RU"/>
        </w:rPr>
        <w:t>что напрямую оказывает влияние не только на увеличение налоговых поступлений в бюджет, создание новых рабочих мест, но и на ур</w:t>
      </w:r>
      <w:r w:rsidR="00412D9B"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2D9B" w:rsidRPr="00C24CFA">
        <w:rPr>
          <w:rFonts w:ascii="Times New Roman" w:eastAsia="Times New Roman" w:hAnsi="Times New Roman"/>
          <w:sz w:val="28"/>
          <w:szCs w:val="28"/>
          <w:lang w:eastAsia="ru-RU"/>
        </w:rPr>
        <w:t>вень и качество жизни жителей Тимашевского района, развитие и соверше</w:t>
      </w:r>
      <w:r w:rsidR="00412D9B" w:rsidRPr="00C24CF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12D9B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ствование здоровой конкурентной </w:t>
      </w:r>
      <w:r w:rsidR="006D0E0F" w:rsidRPr="00C24CFA">
        <w:rPr>
          <w:rFonts w:ascii="Times New Roman" w:eastAsia="Times New Roman" w:hAnsi="Times New Roman"/>
          <w:sz w:val="28"/>
          <w:szCs w:val="28"/>
          <w:lang w:eastAsia="ru-RU"/>
        </w:rPr>
        <w:t>среды.</w:t>
      </w:r>
      <w:proofErr w:type="gramEnd"/>
    </w:p>
    <w:p w:rsidR="00177815" w:rsidRPr="00C24CFA" w:rsidRDefault="00177815" w:rsidP="002D3FB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 Тимашевский район создана муниципал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ная экспертная группа по внедрению успешных практик, направленных на ра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витие и поддержку малого и среднего предпринимательства на муниципальном уровне, в </w:t>
      </w:r>
      <w:r w:rsidR="006D0E0F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которой входят 5 представителей </w:t>
      </w:r>
      <w:proofErr w:type="gramStart"/>
      <w:r w:rsidR="006D0E0F" w:rsidRPr="00C24CFA">
        <w:rPr>
          <w:rFonts w:ascii="Times New Roman" w:eastAsia="Times New Roman" w:hAnsi="Times New Roman"/>
          <w:sz w:val="28"/>
          <w:szCs w:val="28"/>
          <w:lang w:eastAsia="ru-RU"/>
        </w:rPr>
        <w:t>бизнес-сообщества</w:t>
      </w:r>
      <w:proofErr w:type="gramEnd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Все чл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ны экспертной группы зарегистрированы в системе «Диалог </w:t>
      </w:r>
      <w:proofErr w:type="spellStart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Адванта</w:t>
      </w:r>
      <w:proofErr w:type="spellEnd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77815" w:rsidRPr="00C24CFA" w:rsidRDefault="00177815" w:rsidP="00AA3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Реализация запланированных мероприятий позволяет выбирать наиболее оптимальные  для район</w:t>
      </w:r>
      <w:r w:rsidR="00AA3E3A"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управленческие решения, применять накопленный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успешный опыт в реализации инвестиционных проектов, способствовать 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зданию комфортной среды для ведения п</w:t>
      </w:r>
      <w:r w:rsidR="00AA3E3A" w:rsidRPr="00C24CFA">
        <w:rPr>
          <w:rFonts w:ascii="Times New Roman" w:eastAsia="Times New Roman" w:hAnsi="Times New Roman"/>
          <w:sz w:val="28"/>
          <w:szCs w:val="28"/>
          <w:lang w:eastAsia="ru-RU"/>
        </w:rPr>
        <w:t>редпринимательской деятельности и развития приоритетных и социально-значимых рынков, совершенствованию конкурентной среды.</w:t>
      </w:r>
    </w:p>
    <w:p w:rsidR="00177815" w:rsidRPr="00C24CFA" w:rsidRDefault="00177815" w:rsidP="00AA3E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4CFA">
        <w:rPr>
          <w:rFonts w:ascii="Times New Roman" w:eastAsiaTheme="minorHAnsi" w:hAnsi="Times New Roman"/>
          <w:sz w:val="28"/>
          <w:szCs w:val="28"/>
        </w:rPr>
        <w:t xml:space="preserve">В муниципальном образовании </w:t>
      </w:r>
      <w:proofErr w:type="spellStart"/>
      <w:r w:rsidRPr="00C24CFA">
        <w:rPr>
          <w:rFonts w:ascii="Times New Roman" w:eastAsiaTheme="minorHAnsi" w:hAnsi="Times New Roman"/>
          <w:sz w:val="28"/>
          <w:szCs w:val="28"/>
        </w:rPr>
        <w:t>Тимашевский</w:t>
      </w:r>
      <w:proofErr w:type="spellEnd"/>
      <w:r w:rsidRPr="00C24CFA">
        <w:rPr>
          <w:rFonts w:ascii="Times New Roman" w:eastAsiaTheme="minorHAnsi" w:hAnsi="Times New Roman"/>
          <w:sz w:val="28"/>
          <w:szCs w:val="28"/>
        </w:rPr>
        <w:t xml:space="preserve"> район создан и функцион</w:t>
      </w:r>
      <w:r w:rsidRPr="00C24CFA">
        <w:rPr>
          <w:rFonts w:ascii="Times New Roman" w:eastAsiaTheme="minorHAnsi" w:hAnsi="Times New Roman"/>
          <w:sz w:val="28"/>
          <w:szCs w:val="28"/>
        </w:rPr>
        <w:t>и</w:t>
      </w:r>
      <w:r w:rsidRPr="00C24CFA">
        <w:rPr>
          <w:rFonts w:ascii="Times New Roman" w:eastAsiaTheme="minorHAnsi" w:hAnsi="Times New Roman"/>
          <w:sz w:val="28"/>
          <w:szCs w:val="28"/>
        </w:rPr>
        <w:t>рует отдельный специализированный интернет-портал инвестиционной де</w:t>
      </w:r>
      <w:r w:rsidRPr="00C24CFA">
        <w:rPr>
          <w:rFonts w:ascii="Times New Roman" w:eastAsiaTheme="minorHAnsi" w:hAnsi="Times New Roman"/>
          <w:sz w:val="28"/>
          <w:szCs w:val="28"/>
        </w:rPr>
        <w:t>я</w:t>
      </w:r>
      <w:r w:rsidRPr="00C24CFA">
        <w:rPr>
          <w:rFonts w:ascii="Times New Roman" w:eastAsiaTheme="minorHAnsi" w:hAnsi="Times New Roman"/>
          <w:sz w:val="28"/>
          <w:szCs w:val="28"/>
        </w:rPr>
        <w:t>тельности, который размещен по адресу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invest</w:t>
        </w:r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timregion</w:t>
        </w:r>
        <w:proofErr w:type="spellEnd"/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C24CFA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24C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815" w:rsidRPr="00C24CFA" w:rsidRDefault="00177815" w:rsidP="00AA3E3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24CFA">
        <w:rPr>
          <w:rFonts w:ascii="Times New Roman" w:eastAsiaTheme="minorHAnsi" w:hAnsi="Times New Roman"/>
          <w:sz w:val="28"/>
          <w:szCs w:val="28"/>
        </w:rPr>
        <w:t>Интернет ресурс обеспечивает наглядное представление инвестиционных возможностей муниципального образования, основных направлений привлеч</w:t>
      </w:r>
      <w:r w:rsidRPr="00C24CFA">
        <w:rPr>
          <w:rFonts w:ascii="Times New Roman" w:eastAsiaTheme="minorHAnsi" w:hAnsi="Times New Roman"/>
          <w:sz w:val="28"/>
          <w:szCs w:val="28"/>
        </w:rPr>
        <w:t>е</w:t>
      </w:r>
      <w:r w:rsidRPr="00C24CFA">
        <w:rPr>
          <w:rFonts w:ascii="Times New Roman" w:eastAsiaTheme="minorHAnsi" w:hAnsi="Times New Roman"/>
          <w:sz w:val="28"/>
          <w:szCs w:val="28"/>
        </w:rPr>
        <w:t>ния инвестиций в экономику и инфраструктуру муниципального образования Тимашевский район, содержит детальную информацию об инвестиционных проектах, о мерах поддержки, на которые могут рассчитывать инвесторы. И</w:t>
      </w:r>
      <w:r w:rsidRPr="00C24CFA">
        <w:rPr>
          <w:rFonts w:ascii="Times New Roman" w:eastAsiaTheme="minorHAnsi" w:hAnsi="Times New Roman"/>
          <w:sz w:val="28"/>
          <w:szCs w:val="28"/>
        </w:rPr>
        <w:t>н</w:t>
      </w:r>
      <w:r w:rsidRPr="00C24CFA">
        <w:rPr>
          <w:rFonts w:ascii="Times New Roman" w:eastAsiaTheme="minorHAnsi" w:hAnsi="Times New Roman"/>
          <w:sz w:val="28"/>
          <w:szCs w:val="28"/>
        </w:rPr>
        <w:t>формационные материалы регулярно актуализируются: еженедельно проводи</w:t>
      </w:r>
      <w:r w:rsidRPr="00C24CFA">
        <w:rPr>
          <w:rFonts w:ascii="Times New Roman" w:eastAsiaTheme="minorHAnsi" w:hAnsi="Times New Roman"/>
          <w:sz w:val="28"/>
          <w:szCs w:val="28"/>
        </w:rPr>
        <w:t>т</w:t>
      </w:r>
      <w:r w:rsidRPr="00C24CFA">
        <w:rPr>
          <w:rFonts w:ascii="Times New Roman" w:eastAsiaTheme="minorHAnsi" w:hAnsi="Times New Roman"/>
          <w:sz w:val="28"/>
          <w:szCs w:val="28"/>
        </w:rPr>
        <w:t>ся информационное наполнение Инвестиционного портала в разделе «Новости» (федеральные, краевые, муниципальные, анонсы).</w:t>
      </w:r>
    </w:p>
    <w:p w:rsidR="00177815" w:rsidRPr="00C24CFA" w:rsidRDefault="00177815" w:rsidP="00177815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24CFA">
        <w:rPr>
          <w:rFonts w:ascii="Times New Roman" w:eastAsiaTheme="minorHAnsi" w:hAnsi="Times New Roman"/>
          <w:sz w:val="28"/>
          <w:szCs w:val="28"/>
        </w:rPr>
        <w:t xml:space="preserve">Также на </w:t>
      </w:r>
      <w:r w:rsidRPr="00C24CFA">
        <w:rPr>
          <w:rFonts w:ascii="Times New Roman" w:eastAsiaTheme="minorHAnsi" w:hAnsi="Times New Roman"/>
          <w:bCs/>
          <w:iCs/>
          <w:sz w:val="28"/>
          <w:szCs w:val="28"/>
        </w:rPr>
        <w:t xml:space="preserve">официальном сайте муниципального образования </w:t>
      </w:r>
      <w:proofErr w:type="spellStart"/>
      <w:r w:rsidRPr="00C24CFA">
        <w:rPr>
          <w:rFonts w:ascii="Times New Roman" w:eastAsiaTheme="minorHAnsi" w:hAnsi="Times New Roman"/>
          <w:bCs/>
          <w:iCs/>
          <w:sz w:val="28"/>
          <w:szCs w:val="28"/>
        </w:rPr>
        <w:t>Тимаше</w:t>
      </w:r>
      <w:r w:rsidRPr="00C24CFA">
        <w:rPr>
          <w:rFonts w:ascii="Times New Roman" w:eastAsiaTheme="minorHAnsi" w:hAnsi="Times New Roman"/>
          <w:bCs/>
          <w:iCs/>
          <w:sz w:val="28"/>
          <w:szCs w:val="28"/>
        </w:rPr>
        <w:t>в</w:t>
      </w:r>
      <w:r w:rsidRPr="00C24CFA">
        <w:rPr>
          <w:rFonts w:ascii="Times New Roman" w:eastAsiaTheme="minorHAnsi" w:hAnsi="Times New Roman"/>
          <w:bCs/>
          <w:iCs/>
          <w:sz w:val="28"/>
          <w:szCs w:val="28"/>
        </w:rPr>
        <w:t>ский</w:t>
      </w:r>
      <w:proofErr w:type="spellEnd"/>
      <w:r w:rsidRPr="00C24CFA">
        <w:rPr>
          <w:rFonts w:ascii="Times New Roman" w:eastAsiaTheme="minorHAnsi" w:hAnsi="Times New Roman"/>
          <w:bCs/>
          <w:iCs/>
          <w:sz w:val="28"/>
          <w:szCs w:val="28"/>
        </w:rPr>
        <w:t xml:space="preserve"> район в информационно-телекоммуникационной сети «Интернет» 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(</w:t>
      </w:r>
      <w:hyperlink r:id="rId11" w:history="1">
        <w:r w:rsidRPr="00C24CFA">
          <w:rPr>
            <w:rFonts w:ascii="Times New Roman" w:eastAsiaTheme="minorHAnsi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C24CFA">
          <w:rPr>
            <w:rFonts w:ascii="Times New Roman" w:eastAsiaTheme="minorHAnsi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C24CFA">
          <w:rPr>
            <w:rFonts w:ascii="Times New Roman" w:eastAsiaTheme="minorHAnsi" w:hAnsi="Times New Roman"/>
            <w:color w:val="000000" w:themeColor="text1"/>
            <w:sz w:val="28"/>
            <w:szCs w:val="28"/>
            <w:u w:val="single"/>
            <w:lang w:val="en-US"/>
          </w:rPr>
          <w:t>timregion</w:t>
        </w:r>
        <w:proofErr w:type="spellEnd"/>
        <w:r w:rsidRPr="00C24CFA">
          <w:rPr>
            <w:rFonts w:ascii="Times New Roman" w:eastAsiaTheme="minorHAnsi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C24CFA">
          <w:rPr>
            <w:rFonts w:ascii="Times New Roman" w:eastAsiaTheme="minorHAnsi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) создан раздел «Виртуальная приемная главы муниципальн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 образования Тимашевский район», где представители </w:t>
      </w:r>
      <w:proofErr w:type="gramStart"/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бизнес-сообщества</w:t>
      </w:r>
      <w:proofErr w:type="gramEnd"/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инвесторы могут обратиться к главе муниципального образования Тимаше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ский район по любому интересующему вопросу.  Таким образом обеспечивае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>т</w:t>
      </w:r>
      <w:r w:rsidRPr="00C24C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ся работа канала прямой связи администрации и инвесторов. </w:t>
      </w:r>
    </w:p>
    <w:p w:rsidR="00177815" w:rsidRPr="00C24CFA" w:rsidRDefault="00177815" w:rsidP="00AA3E3A">
      <w:pPr>
        <w:pStyle w:val="ConsPlusNormal"/>
        <w:tabs>
          <w:tab w:val="left" w:pos="1134"/>
        </w:tabs>
        <w:ind w:firstLine="709"/>
        <w:jc w:val="both"/>
      </w:pPr>
      <w:r w:rsidRPr="00C24CFA">
        <w:t xml:space="preserve">В муниципальном образовании Тимашевский район принят и реализуется комплекс нормативных актов, устанавливающих основные направления </w:t>
      </w:r>
      <w:r w:rsidR="00AA3E3A" w:rsidRPr="00C24CFA">
        <w:t>соц</w:t>
      </w:r>
      <w:r w:rsidR="00AA3E3A" w:rsidRPr="00C24CFA">
        <w:t>и</w:t>
      </w:r>
      <w:r w:rsidR="00AA3E3A" w:rsidRPr="00C24CFA">
        <w:t xml:space="preserve">ально-экономической </w:t>
      </w:r>
      <w:r w:rsidRPr="00C24CFA">
        <w:t>политики муниципального образования и развития мал</w:t>
      </w:r>
      <w:r w:rsidRPr="00C24CFA">
        <w:t>о</w:t>
      </w:r>
      <w:r w:rsidRPr="00C24CFA">
        <w:t>го и среднего предпринимательства, определяющих формы участия админ</w:t>
      </w:r>
      <w:r w:rsidRPr="00C24CFA">
        <w:t>и</w:t>
      </w:r>
      <w:r w:rsidRPr="00C24CFA">
        <w:t>страции муниципального образования Тимашевский район в развитии и по</w:t>
      </w:r>
      <w:r w:rsidRPr="00C24CFA">
        <w:t>д</w:t>
      </w:r>
      <w:r w:rsidRPr="00C24CFA">
        <w:t>держке инвестиционной и предпринимательской деятельности</w:t>
      </w:r>
      <w:r w:rsidR="007F3C66" w:rsidRPr="00C24CFA">
        <w:t>, совершенств</w:t>
      </w:r>
      <w:r w:rsidR="007F3C66" w:rsidRPr="00C24CFA">
        <w:t>о</w:t>
      </w:r>
      <w:r w:rsidR="007F3C66" w:rsidRPr="00C24CFA">
        <w:t xml:space="preserve">вание конкурентной среды </w:t>
      </w:r>
      <w:r w:rsidRPr="00C24CFA">
        <w:t xml:space="preserve"> на территории муниципальног</w:t>
      </w:r>
      <w:r w:rsidR="00AA3E3A" w:rsidRPr="00C24CFA">
        <w:t>о образования Тим</w:t>
      </w:r>
      <w:r w:rsidR="00AA3E3A" w:rsidRPr="00C24CFA">
        <w:t>а</w:t>
      </w:r>
      <w:r w:rsidR="00AA3E3A" w:rsidRPr="00C24CFA">
        <w:t>шевский район</w:t>
      </w:r>
      <w:r w:rsidR="007F3C66" w:rsidRPr="00C24CFA">
        <w:t>.</w:t>
      </w:r>
    </w:p>
    <w:p w:rsidR="00616AC2" w:rsidRPr="00C24CFA" w:rsidRDefault="004868C0" w:rsidP="00616AC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ab/>
        <w:t>Нормативные правовые акты муниципального образования Тимашевский район - самые многочисленные источники права, наиболее приближенные к местному сообществу и условиям его жизни; с их помощью реализуются права граждан на местное самоуправление; они создают соответствующий правовой режим и обеспечивают правопорядок и законность на территории муниципал</w:t>
      </w:r>
      <w:r w:rsidRPr="00C24CFA">
        <w:rPr>
          <w:rFonts w:ascii="Times New Roman" w:hAnsi="Times New Roman"/>
          <w:sz w:val="28"/>
          <w:szCs w:val="28"/>
        </w:rPr>
        <w:t>ь</w:t>
      </w:r>
      <w:r w:rsidRPr="00C24CFA">
        <w:rPr>
          <w:rFonts w:ascii="Times New Roman" w:hAnsi="Times New Roman"/>
          <w:sz w:val="28"/>
          <w:szCs w:val="28"/>
        </w:rPr>
        <w:t>ного образовани</w:t>
      </w:r>
      <w:r w:rsidR="00616AC2" w:rsidRPr="00C24CFA">
        <w:rPr>
          <w:rFonts w:ascii="Times New Roman" w:hAnsi="Times New Roman"/>
          <w:sz w:val="28"/>
          <w:szCs w:val="28"/>
        </w:rPr>
        <w:t xml:space="preserve">я. </w:t>
      </w:r>
    </w:p>
    <w:p w:rsidR="004868C0" w:rsidRPr="00C24CFA" w:rsidRDefault="00616AC2" w:rsidP="00616AC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ab/>
      </w:r>
      <w:r w:rsidR="004868C0" w:rsidRPr="00C24CFA">
        <w:rPr>
          <w:rFonts w:ascii="Times New Roman" w:hAnsi="Times New Roman"/>
          <w:sz w:val="28"/>
          <w:szCs w:val="28"/>
        </w:rPr>
        <w:t>Одним из важных направлений совершенствования организации нормо</w:t>
      </w:r>
      <w:r w:rsidR="004868C0" w:rsidRPr="00C24CFA">
        <w:rPr>
          <w:rFonts w:ascii="Times New Roman" w:hAnsi="Times New Roman"/>
          <w:sz w:val="28"/>
          <w:szCs w:val="28"/>
        </w:rPr>
        <w:t>т</w:t>
      </w:r>
      <w:r w:rsidR="004868C0" w:rsidRPr="00C24CFA">
        <w:rPr>
          <w:rFonts w:ascii="Times New Roman" w:hAnsi="Times New Roman"/>
          <w:sz w:val="28"/>
          <w:szCs w:val="28"/>
        </w:rPr>
        <w:t>ворческой деятельности в муниципалитете является усиление внимания прав</w:t>
      </w:r>
      <w:r w:rsidR="004868C0" w:rsidRPr="00C24CFA">
        <w:rPr>
          <w:rFonts w:ascii="Times New Roman" w:hAnsi="Times New Roman"/>
          <w:sz w:val="28"/>
          <w:szCs w:val="28"/>
        </w:rPr>
        <w:t>о</w:t>
      </w:r>
      <w:r w:rsidR="004868C0" w:rsidRPr="00C24CFA">
        <w:rPr>
          <w:rFonts w:ascii="Times New Roman" w:hAnsi="Times New Roman"/>
          <w:sz w:val="28"/>
          <w:szCs w:val="28"/>
        </w:rPr>
        <w:t>творческих структур к общественному мнению, активизация участия граждан, хозяйствующих субъектов, общественности в принятии муниципальных норм</w:t>
      </w:r>
      <w:r w:rsidR="004868C0" w:rsidRPr="00C24CFA">
        <w:rPr>
          <w:rFonts w:ascii="Times New Roman" w:hAnsi="Times New Roman"/>
          <w:sz w:val="28"/>
          <w:szCs w:val="28"/>
        </w:rPr>
        <w:t>а</w:t>
      </w:r>
      <w:r w:rsidR="004868C0" w:rsidRPr="00C24CFA">
        <w:rPr>
          <w:rFonts w:ascii="Times New Roman" w:hAnsi="Times New Roman"/>
          <w:sz w:val="28"/>
          <w:szCs w:val="28"/>
        </w:rPr>
        <w:t xml:space="preserve">тивных правовых актов. </w:t>
      </w:r>
    </w:p>
    <w:p w:rsidR="004868C0" w:rsidRPr="00C24CFA" w:rsidRDefault="00616AC2" w:rsidP="004868C0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ab/>
      </w:r>
      <w:r w:rsidR="004868C0" w:rsidRPr="00C24CFA">
        <w:rPr>
          <w:rFonts w:ascii="Times New Roman" w:hAnsi="Times New Roman"/>
          <w:sz w:val="28"/>
          <w:szCs w:val="28"/>
        </w:rPr>
        <w:t>Муниципальные нормативные правовые акты муниципального образ</w:t>
      </w:r>
      <w:r w:rsidR="004868C0" w:rsidRPr="00C24CFA">
        <w:rPr>
          <w:rFonts w:ascii="Times New Roman" w:hAnsi="Times New Roman"/>
          <w:sz w:val="28"/>
          <w:szCs w:val="28"/>
        </w:rPr>
        <w:t>о</w:t>
      </w:r>
      <w:r w:rsidR="004868C0" w:rsidRPr="00C24CFA">
        <w:rPr>
          <w:rFonts w:ascii="Times New Roman" w:hAnsi="Times New Roman"/>
          <w:sz w:val="28"/>
          <w:szCs w:val="28"/>
        </w:rPr>
        <w:t>вания Тимашевский район в обязательном порядке размещаются в регистре м</w:t>
      </w:r>
      <w:r w:rsidR="004868C0" w:rsidRPr="00C24CFA">
        <w:rPr>
          <w:rFonts w:ascii="Times New Roman" w:hAnsi="Times New Roman"/>
          <w:sz w:val="28"/>
          <w:szCs w:val="28"/>
        </w:rPr>
        <w:t>у</w:t>
      </w:r>
      <w:r w:rsidR="004868C0" w:rsidRPr="00C24CFA">
        <w:rPr>
          <w:rFonts w:ascii="Times New Roman" w:hAnsi="Times New Roman"/>
          <w:sz w:val="28"/>
          <w:szCs w:val="28"/>
        </w:rPr>
        <w:t>ниципальных нормативных правовых актов на официальном сайте администр</w:t>
      </w:r>
      <w:r w:rsidR="004868C0" w:rsidRPr="00C24CFA">
        <w:rPr>
          <w:rFonts w:ascii="Times New Roman" w:hAnsi="Times New Roman"/>
          <w:sz w:val="28"/>
          <w:szCs w:val="28"/>
        </w:rPr>
        <w:t>а</w:t>
      </w:r>
      <w:r w:rsidR="004868C0" w:rsidRPr="00C24CFA">
        <w:rPr>
          <w:rFonts w:ascii="Times New Roman" w:hAnsi="Times New Roman"/>
          <w:sz w:val="28"/>
          <w:szCs w:val="28"/>
        </w:rPr>
        <w:t>ции муниципального образования Тимашевский район,  что   обеспечивает св</w:t>
      </w:r>
      <w:r w:rsidR="004868C0" w:rsidRPr="00C24CFA">
        <w:rPr>
          <w:rFonts w:ascii="Times New Roman" w:hAnsi="Times New Roman"/>
          <w:sz w:val="28"/>
          <w:szCs w:val="28"/>
        </w:rPr>
        <w:t>о</w:t>
      </w:r>
      <w:r w:rsidR="004868C0" w:rsidRPr="00C24CFA">
        <w:rPr>
          <w:rFonts w:ascii="Times New Roman" w:hAnsi="Times New Roman"/>
          <w:sz w:val="28"/>
          <w:szCs w:val="28"/>
        </w:rPr>
        <w:lastRenderedPageBreak/>
        <w:t>бодный доступ граждан, организаций, органов и должностных лиц местного самоуправления к этим нормативным правовым актам.</w:t>
      </w:r>
    </w:p>
    <w:p w:rsidR="004868C0" w:rsidRPr="00C24CFA" w:rsidRDefault="004868C0" w:rsidP="00616AC2">
      <w:pPr>
        <w:pStyle w:val="ConsPlusNormal"/>
        <w:tabs>
          <w:tab w:val="left" w:pos="993"/>
        </w:tabs>
        <w:ind w:firstLine="709"/>
        <w:jc w:val="both"/>
      </w:pPr>
      <w:r w:rsidRPr="00C24CFA">
        <w:rPr>
          <w:rFonts w:eastAsia="Calibri"/>
          <w:szCs w:val="28"/>
          <w:lang w:eastAsia="en-US"/>
        </w:rPr>
        <w:tab/>
        <w:t>На стадии разработки нормативных документов проводятся публичные слушания, обсуждения. Организована работа по обнародованию принятых пр</w:t>
      </w:r>
      <w:r w:rsidRPr="00C24CFA">
        <w:rPr>
          <w:rFonts w:eastAsia="Calibri"/>
          <w:szCs w:val="28"/>
          <w:lang w:eastAsia="en-US"/>
        </w:rPr>
        <w:t>а</w:t>
      </w:r>
      <w:r w:rsidRPr="00C24CFA">
        <w:rPr>
          <w:rFonts w:eastAsia="Calibri"/>
          <w:szCs w:val="28"/>
          <w:lang w:eastAsia="en-US"/>
        </w:rPr>
        <w:t>вовых актов путем своевременного размещения муниципальных нормативных правовых актов стендах, в специально отведенных для этого местах, а также публикация в СМИ.</w:t>
      </w:r>
    </w:p>
    <w:p w:rsidR="002D3FB9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 xml:space="preserve">В районе </w:t>
      </w:r>
      <w:r w:rsidR="007F3C66" w:rsidRPr="00C24CFA">
        <w:t xml:space="preserve">из 5 представителей бизнес-сообщества </w:t>
      </w:r>
      <w:r w:rsidRPr="00C24CFA">
        <w:t>создан консультати</w:t>
      </w:r>
      <w:r w:rsidRPr="00C24CFA">
        <w:t>в</w:t>
      </w:r>
      <w:r w:rsidRPr="00C24CFA">
        <w:t>ный совет</w:t>
      </w:r>
      <w:r w:rsidR="007F3C66" w:rsidRPr="00C24CFA">
        <w:t xml:space="preserve"> по оценке регулирующего воздей</w:t>
      </w:r>
      <w:r w:rsidRPr="00C24CFA">
        <w:t>ствия и экспертизе муниципальных нормативных правовых актов муниципального образования Тимашевский ра</w:t>
      </w:r>
      <w:r w:rsidRPr="00C24CFA">
        <w:t>й</w:t>
      </w:r>
      <w:r w:rsidRPr="00C24CFA">
        <w:t>он,</w:t>
      </w:r>
      <w:r w:rsidR="007F3C66" w:rsidRPr="00C24CFA">
        <w:t xml:space="preserve"> </w:t>
      </w:r>
      <w:r w:rsidRPr="00C24CFA">
        <w:t>утверждено положение о консультативном совете.</w:t>
      </w:r>
    </w:p>
    <w:p w:rsidR="002D3FB9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>Заключено 5 соглашений о взаимодействии при проведении оценки рег</w:t>
      </w:r>
      <w:r w:rsidRPr="00C24CFA">
        <w:t>у</w:t>
      </w:r>
      <w:r w:rsidRPr="00C24CFA">
        <w:t>лирующего воздействия проектов муниципальных нормативных правовых а</w:t>
      </w:r>
      <w:r w:rsidRPr="00C24CFA">
        <w:t>к</w:t>
      </w:r>
      <w:r w:rsidRPr="00C24CFA">
        <w:t>тов муниципального образования Тимашевский район, затрагивающих вопросы осуществления предпринимательской и инвестиционной деятельности, с учас</w:t>
      </w:r>
      <w:r w:rsidRPr="00C24CFA">
        <w:t>т</w:t>
      </w:r>
      <w:r w:rsidRPr="00C24CFA">
        <w:t>никами публичных консультаций и 5 соглашений о взаимодействии при пров</w:t>
      </w:r>
      <w:r w:rsidRPr="00C24CFA">
        <w:t>е</w:t>
      </w:r>
      <w:r w:rsidRPr="00C24CFA">
        <w:t>дении экспертизы  муниципальных нормативных правовых актов муниципал</w:t>
      </w:r>
      <w:r w:rsidRPr="00C24CFA">
        <w:t>ь</w:t>
      </w:r>
      <w:r w:rsidRPr="00C24CFA">
        <w:t>ного образования Тимашевский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с участниками публичных консультаций.</w:t>
      </w:r>
    </w:p>
    <w:p w:rsidR="00177815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>Информационные материалы размещ</w:t>
      </w:r>
      <w:r w:rsidR="007F3C66" w:rsidRPr="00C24CFA">
        <w:t>ены на официальном сайте муниц</w:t>
      </w:r>
      <w:r w:rsidR="007F3C66" w:rsidRPr="00C24CFA">
        <w:t>и</w:t>
      </w:r>
      <w:r w:rsidRPr="00C24CFA">
        <w:t>пального образования Тимашевский район http://timregion.ru, раздел «Оценка регулирующего воздействия», подразделы «Оценка регулирующего возде</w:t>
      </w:r>
      <w:r w:rsidRPr="00C24CFA">
        <w:t>й</w:t>
      </w:r>
      <w:r w:rsidRPr="00C24CFA">
        <w:t>ствия», «Экспертиза».</w:t>
      </w:r>
    </w:p>
    <w:p w:rsidR="002D3FB9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>В 2016 году уполномоченным органом по проведению оценки регулир</w:t>
      </w:r>
      <w:r w:rsidRPr="00C24CFA">
        <w:t>у</w:t>
      </w:r>
      <w:r w:rsidRPr="00C24CFA">
        <w:t>ющего воздействия проектов муниципальных нормативных правовых актов, з</w:t>
      </w:r>
      <w:r w:rsidRPr="00C24CFA">
        <w:t>а</w:t>
      </w:r>
      <w:r w:rsidRPr="00C24CFA">
        <w:t>трагивающих вопросы осуществления предпринимательской и инвестиционной деятельности, проведено 10 процедур оценки регулирующего воздействия пр</w:t>
      </w:r>
      <w:r w:rsidRPr="00C24CFA">
        <w:t>о</w:t>
      </w:r>
      <w:r w:rsidRPr="00C24CFA">
        <w:t>ектов постановлений администрации муниципального образования Тимаше</w:t>
      </w:r>
      <w:r w:rsidRPr="00C24CFA">
        <w:t>в</w:t>
      </w:r>
      <w:r w:rsidRPr="00C24CFA">
        <w:t>ский район.</w:t>
      </w:r>
    </w:p>
    <w:p w:rsidR="002D3FB9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>По результатам оценки регулирующего воздействия сделаны выводы об отсутствии в представленных проектах положений, вводящих избыточные а</w:t>
      </w:r>
      <w:r w:rsidRPr="00C24CFA">
        <w:t>д</w:t>
      </w:r>
      <w:r w:rsidRPr="00C24CFA">
        <w:t>министративные обязанности, запреты и ограничения для субъектов малого и среднего предпринимательства (юридических лиц, индивидуальных предпр</w:t>
      </w:r>
      <w:r w:rsidRPr="00C24CFA">
        <w:t>и</w:t>
      </w:r>
      <w:r w:rsidRPr="00C24CFA">
        <w:t>нимателей) и</w:t>
      </w:r>
      <w:r w:rsidR="007F3C66" w:rsidRPr="00C24CFA">
        <w:t xml:space="preserve">ли способствующих их введению, </w:t>
      </w:r>
      <w:r w:rsidRPr="00C24CFA">
        <w:t>оказывающих негативное вли</w:t>
      </w:r>
      <w:r w:rsidRPr="00C24CFA">
        <w:t>я</w:t>
      </w:r>
      <w:r w:rsidRPr="00C24CFA">
        <w:t xml:space="preserve">ние на отрасли экономики </w:t>
      </w:r>
      <w:r w:rsidR="007F3C66" w:rsidRPr="00C24CFA">
        <w:t xml:space="preserve">(приоритетные и социально-значимые рынки) </w:t>
      </w:r>
      <w:r w:rsidRPr="00C24CFA">
        <w:t>мун</w:t>
      </w:r>
      <w:r w:rsidRPr="00C24CFA">
        <w:t>и</w:t>
      </w:r>
      <w:r w:rsidRPr="00C24CFA">
        <w:t>ципального образования Тимашевский район,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</w:t>
      </w:r>
      <w:r w:rsidRPr="00C24CFA">
        <w:t>н</w:t>
      </w:r>
      <w:r w:rsidRPr="00C24CFA">
        <w:t>ных расходов местного бюджета (бюджета муниципального образования Т</w:t>
      </w:r>
      <w:r w:rsidRPr="00C24CFA">
        <w:t>и</w:t>
      </w:r>
      <w:r w:rsidRPr="00C24CFA">
        <w:t>машевский район).</w:t>
      </w:r>
    </w:p>
    <w:p w:rsidR="002D3FB9" w:rsidRPr="00C24CFA" w:rsidRDefault="002D3FB9" w:rsidP="00BC5F57">
      <w:pPr>
        <w:pStyle w:val="ConsPlusNormal"/>
        <w:tabs>
          <w:tab w:val="left" w:pos="1134"/>
        </w:tabs>
        <w:ind w:firstLine="709"/>
        <w:jc w:val="both"/>
      </w:pPr>
      <w:r w:rsidRPr="00C24CFA">
        <w:t xml:space="preserve">Также в 2016 году проведено 2 экспертизы </w:t>
      </w:r>
      <w:r w:rsidR="00131092" w:rsidRPr="00C24CFA">
        <w:t xml:space="preserve">действующих </w:t>
      </w:r>
      <w:r w:rsidRPr="00C24CFA">
        <w:t>муниципал</w:t>
      </w:r>
      <w:r w:rsidR="00131092" w:rsidRPr="00C24CFA">
        <w:t xml:space="preserve">ьных нормативных правовых актов, </w:t>
      </w:r>
      <w:r w:rsidRPr="00C24CFA">
        <w:t>сделаны выводы об отсутствии положений, с</w:t>
      </w:r>
      <w:r w:rsidRPr="00C24CFA">
        <w:t>о</w:t>
      </w:r>
      <w:r w:rsidRPr="00C24CFA">
        <w:t>здающих необоснованные затруднения ведения предпринимательской и инв</w:t>
      </w:r>
      <w:r w:rsidRPr="00C24CFA">
        <w:t>е</w:t>
      </w:r>
      <w:r w:rsidRPr="00C24CFA">
        <w:t>стиционной деятельности.</w:t>
      </w:r>
    </w:p>
    <w:p w:rsidR="00131092" w:rsidRPr="00C24CFA" w:rsidRDefault="00131092" w:rsidP="00BC5F57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Деятельность администрации муниципального образования Тимашевский район, администраций поселений района в реализации требований Стандарта развития конкуренции основана на  системном подходе, обеспечивающем д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стижение эффективности и результативности деятельности по развитию конк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ренции; постоянное улучшение мер по содействию развитию конкуренции.</w:t>
      </w:r>
    </w:p>
    <w:p w:rsidR="00131092" w:rsidRPr="00C24CFA" w:rsidRDefault="003B40B5" w:rsidP="00BC5F57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определения приоритетных направлений работы в отношении внедрения С</w:t>
      </w:r>
      <w:r w:rsidR="00131092"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тандарта развития конкуренции действия муниципалитета будут направлены на: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конкуренции на территории муниц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образования Тимашевский район;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особенностей при развитии конкуренции на большей части ры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 и в отраслях;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распространения лучших практик развития конк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ренции на территории Тимашевского района;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Снижение административных барьеров; 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мер поддержки малого и среднего бизнеса в приоритетных отраслях экономики муниципального образования Тимашевский район;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доли государственного сектора в экономике до эффективн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уровня, демонополизация и разгосударствление;</w:t>
      </w:r>
    </w:p>
    <w:p w:rsidR="004F039B" w:rsidRPr="00C24CFA" w:rsidRDefault="004F039B" w:rsidP="00BC5F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открытости деятельности органов местного самоуправл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муниципального образования</w:t>
      </w:r>
      <w:proofErr w:type="gramEnd"/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Тимашевский район, максимально полное размещение информации о доступах на рынки и к ресурсам.</w:t>
      </w:r>
    </w:p>
    <w:p w:rsidR="00BC5F57" w:rsidRPr="00C24CFA" w:rsidRDefault="00BC5F57" w:rsidP="00616AC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AC2" w:rsidRPr="00C24CFA" w:rsidRDefault="00A224BC" w:rsidP="00BC5F57">
      <w:pPr>
        <w:tabs>
          <w:tab w:val="left" w:pos="993"/>
          <w:tab w:val="left" w:pos="1276"/>
        </w:tabs>
        <w:spacing w:after="0" w:line="240" w:lineRule="auto"/>
        <w:ind w:firstLine="7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2. Состояние и развитие конкурентной среды на рынках </w:t>
      </w:r>
    </w:p>
    <w:p w:rsidR="00A224BC" w:rsidRPr="00C24CFA" w:rsidRDefault="00A224BC" w:rsidP="00BC5F57">
      <w:pPr>
        <w:tabs>
          <w:tab w:val="left" w:pos="993"/>
          <w:tab w:val="left" w:pos="1276"/>
        </w:tabs>
        <w:spacing w:after="0" w:line="240" w:lineRule="auto"/>
        <w:ind w:firstLine="7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товаров, работ и услуг.</w:t>
      </w:r>
    </w:p>
    <w:p w:rsidR="00A224BC" w:rsidRPr="00C24CFA" w:rsidRDefault="00A224BC" w:rsidP="00BC5F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39B" w:rsidRPr="00C24CFA" w:rsidRDefault="004F039B" w:rsidP="00BC5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Тимашевский район расположен в юго-восточной части Краснодарского края, в 70 км от краевого центра г. Краснодар, граничит с Динским, Калини</w:t>
      </w:r>
      <w:r w:rsidRPr="00C24CFA">
        <w:rPr>
          <w:rFonts w:ascii="Times New Roman" w:hAnsi="Times New Roman"/>
          <w:sz w:val="28"/>
          <w:szCs w:val="28"/>
        </w:rPr>
        <w:t>н</w:t>
      </w:r>
      <w:r w:rsidRPr="00C24CFA">
        <w:rPr>
          <w:rFonts w:ascii="Times New Roman" w:hAnsi="Times New Roman"/>
          <w:sz w:val="28"/>
          <w:szCs w:val="28"/>
        </w:rPr>
        <w:t xml:space="preserve">ским, </w:t>
      </w:r>
      <w:proofErr w:type="spellStart"/>
      <w:r w:rsidRPr="00C24CFA">
        <w:rPr>
          <w:rFonts w:ascii="Times New Roman" w:hAnsi="Times New Roman"/>
          <w:sz w:val="28"/>
          <w:szCs w:val="28"/>
        </w:rPr>
        <w:t>Кореновским</w:t>
      </w:r>
      <w:proofErr w:type="spellEnd"/>
      <w:r w:rsidRPr="00C24C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CFA">
        <w:rPr>
          <w:rFonts w:ascii="Times New Roman" w:hAnsi="Times New Roman"/>
          <w:sz w:val="28"/>
          <w:szCs w:val="28"/>
        </w:rPr>
        <w:t>Приморско-Ахтарским</w:t>
      </w:r>
      <w:proofErr w:type="spellEnd"/>
      <w:r w:rsidRPr="00C24C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4CFA">
        <w:rPr>
          <w:rFonts w:ascii="Times New Roman" w:hAnsi="Times New Roman"/>
          <w:sz w:val="28"/>
          <w:szCs w:val="28"/>
        </w:rPr>
        <w:t>Брюховецким</w:t>
      </w:r>
      <w:proofErr w:type="spellEnd"/>
      <w:r w:rsidRPr="00C24CFA">
        <w:rPr>
          <w:rFonts w:ascii="Times New Roman" w:hAnsi="Times New Roman"/>
          <w:sz w:val="28"/>
          <w:szCs w:val="28"/>
        </w:rPr>
        <w:t xml:space="preserve"> районами.  Пл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 xml:space="preserve">щадь района составляет 1506,4 квадратных километров (2 процента  территории Краснодарского края). </w:t>
      </w:r>
    </w:p>
    <w:p w:rsidR="004F039B" w:rsidRPr="00C24CFA" w:rsidRDefault="004F039B" w:rsidP="00BC5F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 xml:space="preserve">Тимашевский район образован 11 февраля 1927 года. В настоящее время 41 населенный пункт объединен в 9 сельских поселений и 1 городское. 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>В районе имеются развитая сеть автомобильных и железных дорог, по его территории проходят важнейшие железнодорожные, автомобильные маршруты федерального значения, которые ориентированы в сторону морских междун</w:t>
      </w:r>
      <w:r w:rsidRPr="00C24CFA">
        <w:rPr>
          <w:rFonts w:ascii="Times New Roman" w:hAnsi="Times New Roman"/>
          <w:bCs/>
          <w:sz w:val="28"/>
          <w:szCs w:val="28"/>
        </w:rPr>
        <w:t>а</w:t>
      </w:r>
      <w:r w:rsidRPr="00C24CFA">
        <w:rPr>
          <w:rFonts w:ascii="Times New Roman" w:hAnsi="Times New Roman"/>
          <w:bCs/>
          <w:sz w:val="28"/>
          <w:szCs w:val="28"/>
        </w:rPr>
        <w:t>родных портов края и курортов Черного и Азовского морей.</w:t>
      </w:r>
    </w:p>
    <w:p w:rsidR="004F039B" w:rsidRPr="00C24CFA" w:rsidRDefault="004F039B" w:rsidP="00BC5F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 xml:space="preserve">Выгодное географическое положение района способствует развитию внутренних и внешних экономических и культурных связей. </w:t>
      </w:r>
    </w:p>
    <w:p w:rsidR="004F039B" w:rsidRPr="00C24CFA" w:rsidRDefault="004F039B" w:rsidP="00BC5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>Тимашевский район обладает ресурсной базой для обеспечения стабильного социально-экономического развития. Это богатство природных ресурсов, ур</w:t>
      </w:r>
      <w:r w:rsidRPr="00C24CFA">
        <w:rPr>
          <w:rFonts w:ascii="Times New Roman" w:hAnsi="Times New Roman"/>
          <w:bCs/>
          <w:sz w:val="28"/>
          <w:szCs w:val="28"/>
        </w:rPr>
        <w:t>о</w:t>
      </w:r>
      <w:r w:rsidRPr="00C24CFA">
        <w:rPr>
          <w:rFonts w:ascii="Times New Roman" w:hAnsi="Times New Roman"/>
          <w:bCs/>
          <w:sz w:val="28"/>
          <w:szCs w:val="28"/>
        </w:rPr>
        <w:t>вень развития базовых отраслей промышленности, сельского хозяйства, тран</w:t>
      </w:r>
      <w:r w:rsidRPr="00C24CFA">
        <w:rPr>
          <w:rFonts w:ascii="Times New Roman" w:hAnsi="Times New Roman"/>
          <w:bCs/>
          <w:sz w:val="28"/>
          <w:szCs w:val="28"/>
        </w:rPr>
        <w:t>с</w:t>
      </w:r>
      <w:r w:rsidRPr="00C24CFA">
        <w:rPr>
          <w:rFonts w:ascii="Times New Roman" w:hAnsi="Times New Roman"/>
          <w:bCs/>
          <w:sz w:val="28"/>
          <w:szCs w:val="28"/>
        </w:rPr>
        <w:t>порта, связи, объектов социальной инфраструктуры.</w:t>
      </w:r>
      <w:r w:rsidRPr="00C24CFA">
        <w:rPr>
          <w:color w:val="000000"/>
          <w:szCs w:val="28"/>
        </w:rPr>
        <w:t xml:space="preserve"> </w:t>
      </w:r>
      <w:r w:rsidRPr="00C24CFA">
        <w:rPr>
          <w:rFonts w:ascii="Times New Roman" w:hAnsi="Times New Roman"/>
          <w:color w:val="000000"/>
          <w:sz w:val="28"/>
          <w:szCs w:val="28"/>
        </w:rPr>
        <w:t>Наличие на территории района предприятий практически всех отраслей народного хозяйства позволяет сохранять и наращивать экономический потенциал.</w:t>
      </w:r>
      <w:r w:rsidRPr="00C24CFA">
        <w:rPr>
          <w:rFonts w:ascii="Times New Roman" w:hAnsi="Times New Roman"/>
          <w:b/>
          <w:sz w:val="28"/>
          <w:szCs w:val="28"/>
        </w:rPr>
        <w:t xml:space="preserve"> </w:t>
      </w:r>
      <w:r w:rsidRPr="00C24CFA">
        <w:rPr>
          <w:rFonts w:ascii="Times New Roman" w:hAnsi="Times New Roman"/>
          <w:sz w:val="28"/>
          <w:szCs w:val="28"/>
        </w:rPr>
        <w:t xml:space="preserve">Приоритетные направления </w:t>
      </w:r>
      <w:r w:rsidRPr="00C24CFA">
        <w:rPr>
          <w:rFonts w:ascii="Times New Roman" w:hAnsi="Times New Roman"/>
          <w:sz w:val="28"/>
          <w:szCs w:val="28"/>
        </w:rPr>
        <w:lastRenderedPageBreak/>
        <w:t>развития экономики Тимашевского района – это, прежде всего, развитие реал</w:t>
      </w:r>
      <w:r w:rsidRPr="00C24CFA">
        <w:rPr>
          <w:rFonts w:ascii="Times New Roman" w:hAnsi="Times New Roman"/>
          <w:sz w:val="28"/>
          <w:szCs w:val="28"/>
        </w:rPr>
        <w:t>ь</w:t>
      </w:r>
      <w:r w:rsidRPr="00C24CFA">
        <w:rPr>
          <w:rFonts w:ascii="Times New Roman" w:hAnsi="Times New Roman"/>
          <w:sz w:val="28"/>
          <w:szCs w:val="28"/>
        </w:rPr>
        <w:t xml:space="preserve">ного сектора экономики и пополнение доходной части бюджета района. 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C24CFA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Выстраивая основные стратегические  цели и направления  дальнейшего развития района, муниципалитет основывается, прежде всего, на тесном взаимодействии и сотрудничестве  со всеми хозяйствующими субъектами, формировании благоприятного инвестиционного климата, развитии социальной сферы.   </w:t>
      </w:r>
    </w:p>
    <w:p w:rsidR="004F039B" w:rsidRPr="00C24CFA" w:rsidRDefault="004F039B" w:rsidP="00BC5F5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24CFA">
        <w:rPr>
          <w:rFonts w:ascii="Times New Roman" w:hAnsi="Times New Roman"/>
          <w:bCs/>
          <w:iCs/>
          <w:sz w:val="28"/>
          <w:szCs w:val="28"/>
        </w:rPr>
        <w:t xml:space="preserve">Экономика района сохраняет свои позиции на </w:t>
      </w:r>
      <w:proofErr w:type="spellStart"/>
      <w:r w:rsidRPr="00C24CFA">
        <w:rPr>
          <w:rFonts w:ascii="Times New Roman" w:hAnsi="Times New Roman"/>
          <w:bCs/>
          <w:iCs/>
          <w:sz w:val="28"/>
          <w:szCs w:val="28"/>
        </w:rPr>
        <w:t>среднекраевом</w:t>
      </w:r>
      <w:proofErr w:type="spellEnd"/>
      <w:r w:rsidRPr="00C24CFA">
        <w:rPr>
          <w:rFonts w:ascii="Times New Roman" w:hAnsi="Times New Roman"/>
          <w:bCs/>
          <w:iCs/>
          <w:sz w:val="28"/>
          <w:szCs w:val="28"/>
        </w:rPr>
        <w:t xml:space="preserve"> уровне: удельный вес в валовом региональном продукте на протяжении трех лет сохр</w:t>
      </w:r>
      <w:r w:rsidRPr="00C24CFA">
        <w:rPr>
          <w:rFonts w:ascii="Times New Roman" w:hAnsi="Times New Roman"/>
          <w:bCs/>
          <w:iCs/>
          <w:sz w:val="28"/>
          <w:szCs w:val="28"/>
        </w:rPr>
        <w:t>а</w:t>
      </w:r>
      <w:r w:rsidRPr="00C24CFA">
        <w:rPr>
          <w:rFonts w:ascii="Times New Roman" w:hAnsi="Times New Roman"/>
          <w:bCs/>
          <w:iCs/>
          <w:sz w:val="28"/>
          <w:szCs w:val="28"/>
        </w:rPr>
        <w:t>няется на уровне 3,5%, в объеме производства промышленной продукции  - 5,3%, сельскохозяйственного производства – 3,4%, оборота розничной торговли – 1,2%.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 xml:space="preserve">По комплексной оценке социально-экономического развития (показатели в расчете на душу населения) муниципальных районов и городских округов Тимашевский район входит во вторую группу территорий со средним уровнем развития, занимая по прогнозу 2016 года 7 место в крае (по оценке 2015 года – 8 место, отчету за 2014 год -12 место). 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 xml:space="preserve">Высокий рейтинг 2016 года обусловлен тем, что по четырем оценочным показателям район имеет результаты значительно лучше </w:t>
      </w:r>
      <w:proofErr w:type="spellStart"/>
      <w:r w:rsidRPr="00C24CFA">
        <w:rPr>
          <w:rFonts w:ascii="Times New Roman" w:hAnsi="Times New Roman"/>
          <w:bCs/>
          <w:sz w:val="28"/>
          <w:szCs w:val="28"/>
        </w:rPr>
        <w:t>среднекраевого</w:t>
      </w:r>
      <w:proofErr w:type="spellEnd"/>
      <w:r w:rsidRPr="00C24CFA">
        <w:rPr>
          <w:rFonts w:ascii="Times New Roman" w:hAnsi="Times New Roman"/>
          <w:bCs/>
          <w:sz w:val="28"/>
          <w:szCs w:val="28"/>
        </w:rPr>
        <w:t xml:space="preserve"> уро</w:t>
      </w:r>
      <w:r w:rsidRPr="00C24CFA">
        <w:rPr>
          <w:rFonts w:ascii="Times New Roman" w:hAnsi="Times New Roman"/>
          <w:bCs/>
          <w:sz w:val="28"/>
          <w:szCs w:val="28"/>
        </w:rPr>
        <w:t>в</w:t>
      </w:r>
      <w:r w:rsidRPr="00C24CFA">
        <w:rPr>
          <w:rFonts w:ascii="Times New Roman" w:hAnsi="Times New Roman"/>
          <w:bCs/>
          <w:sz w:val="28"/>
          <w:szCs w:val="28"/>
        </w:rPr>
        <w:t>ня. Это  развитие промышленного производства (в среднем на душу населения производится продукции в 2,2 раза больше, чем по краю), сельскохозяйстве</w:t>
      </w:r>
      <w:r w:rsidRPr="00C24CFA">
        <w:rPr>
          <w:rFonts w:ascii="Times New Roman" w:hAnsi="Times New Roman"/>
          <w:bCs/>
          <w:sz w:val="28"/>
          <w:szCs w:val="28"/>
        </w:rPr>
        <w:t>н</w:t>
      </w:r>
      <w:r w:rsidRPr="00C24CFA">
        <w:rPr>
          <w:rFonts w:ascii="Times New Roman" w:hAnsi="Times New Roman"/>
          <w:bCs/>
          <w:sz w:val="28"/>
          <w:szCs w:val="28"/>
        </w:rPr>
        <w:t xml:space="preserve">ного производства (больше </w:t>
      </w:r>
      <w:proofErr w:type="spellStart"/>
      <w:r w:rsidRPr="00C24CFA">
        <w:rPr>
          <w:rFonts w:ascii="Times New Roman" w:hAnsi="Times New Roman"/>
          <w:bCs/>
          <w:sz w:val="28"/>
          <w:szCs w:val="28"/>
        </w:rPr>
        <w:t>среднекраевого</w:t>
      </w:r>
      <w:proofErr w:type="spellEnd"/>
      <w:r w:rsidRPr="00C24CFA">
        <w:rPr>
          <w:rFonts w:ascii="Times New Roman" w:hAnsi="Times New Roman"/>
          <w:bCs/>
          <w:sz w:val="28"/>
          <w:szCs w:val="28"/>
        </w:rPr>
        <w:t xml:space="preserve"> в 1,7 раза), строительства (больше </w:t>
      </w:r>
      <w:proofErr w:type="spellStart"/>
      <w:r w:rsidRPr="00C24CFA">
        <w:rPr>
          <w:rFonts w:ascii="Times New Roman" w:hAnsi="Times New Roman"/>
          <w:bCs/>
          <w:sz w:val="28"/>
          <w:szCs w:val="28"/>
        </w:rPr>
        <w:t>среднекраевого</w:t>
      </w:r>
      <w:proofErr w:type="spellEnd"/>
      <w:r w:rsidRPr="00C24CFA">
        <w:rPr>
          <w:rFonts w:ascii="Times New Roman" w:hAnsi="Times New Roman"/>
          <w:bCs/>
          <w:sz w:val="28"/>
          <w:szCs w:val="28"/>
        </w:rPr>
        <w:t xml:space="preserve"> в 1,2 раза), а также уровень состояния рынка труда.</w:t>
      </w:r>
    </w:p>
    <w:p w:rsidR="004F039B" w:rsidRPr="00C24CFA" w:rsidRDefault="004F039B" w:rsidP="00BC5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В 2016 году крупные и средние предприятия района обеспечили объемы производства продукции, работ и услуг на сумму более 57 миллиардов рублей, что на 14,4% выше уровня 2015 года, и на 30% выше уровня 2014 года в де</w:t>
      </w:r>
      <w:r w:rsidRPr="00C24CFA">
        <w:rPr>
          <w:rFonts w:ascii="Times New Roman" w:hAnsi="Times New Roman"/>
          <w:sz w:val="28"/>
          <w:szCs w:val="28"/>
        </w:rPr>
        <w:t>й</w:t>
      </w:r>
      <w:r w:rsidRPr="00C24CFA">
        <w:rPr>
          <w:rFonts w:ascii="Times New Roman" w:hAnsi="Times New Roman"/>
          <w:sz w:val="28"/>
          <w:szCs w:val="28"/>
        </w:rPr>
        <w:t>ствующих ценах.</w:t>
      </w:r>
    </w:p>
    <w:p w:rsidR="007854A0" w:rsidRPr="00C24CFA" w:rsidRDefault="007854A0" w:rsidP="00616AC2">
      <w:pPr>
        <w:pStyle w:val="af6"/>
        <w:keepNext/>
        <w:jc w:val="center"/>
        <w:rPr>
          <w:rFonts w:ascii="Times New Roman" w:hAnsi="Times New Roman"/>
          <w:color w:val="auto"/>
          <w:sz w:val="28"/>
          <w:szCs w:val="28"/>
        </w:rPr>
      </w:pPr>
      <w:r w:rsidRPr="00C24CFA">
        <w:rPr>
          <w:rFonts w:ascii="Times New Roman" w:hAnsi="Times New Roman"/>
          <w:color w:val="auto"/>
          <w:sz w:val="28"/>
          <w:szCs w:val="28"/>
        </w:rPr>
        <w:t>Объем производства проду</w:t>
      </w:r>
      <w:r w:rsidR="00616AC2" w:rsidRPr="00C24CFA">
        <w:rPr>
          <w:rFonts w:ascii="Times New Roman" w:hAnsi="Times New Roman"/>
          <w:color w:val="auto"/>
          <w:sz w:val="28"/>
          <w:szCs w:val="28"/>
        </w:rPr>
        <w:t>кции, работ и услуг, млрд. руб.</w:t>
      </w:r>
    </w:p>
    <w:p w:rsidR="00983663" w:rsidRPr="00C24CFA" w:rsidRDefault="00616AC2" w:rsidP="00616A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B6784A" wp14:editId="64318220">
            <wp:extent cx="6076950" cy="2505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6AC2" w:rsidRPr="00C24CFA" w:rsidRDefault="00616AC2" w:rsidP="00BC5F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6AC2" w:rsidRPr="00C24CFA" w:rsidRDefault="00616AC2" w:rsidP="00B657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CFA">
        <w:rPr>
          <w:rFonts w:ascii="Times New Roman" w:hAnsi="Times New Roman"/>
          <w:bCs/>
          <w:sz w:val="28"/>
          <w:szCs w:val="28"/>
        </w:rPr>
        <w:t>За 2016 год в общем рейтинге муниципальных образований Краснода</w:t>
      </w:r>
      <w:r w:rsidRPr="00C24CFA">
        <w:rPr>
          <w:rFonts w:ascii="Times New Roman" w:hAnsi="Times New Roman"/>
          <w:bCs/>
          <w:sz w:val="28"/>
          <w:szCs w:val="28"/>
        </w:rPr>
        <w:t>р</w:t>
      </w:r>
      <w:r w:rsidRPr="00C24CFA">
        <w:rPr>
          <w:rFonts w:ascii="Times New Roman" w:hAnsi="Times New Roman"/>
          <w:bCs/>
          <w:sz w:val="28"/>
          <w:szCs w:val="28"/>
        </w:rPr>
        <w:t xml:space="preserve">ского края по темпам роста основных экономических показателей район занял 8-е место. По итогам 2015 года район в общем рейтинге занимал 21-е место, по итогам 2014 года – 38 место. </w:t>
      </w:r>
    </w:p>
    <w:p w:rsidR="004F039B" w:rsidRPr="00C24CFA" w:rsidRDefault="00FB7156" w:rsidP="00BC5F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Оперативные 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>статистические</w:t>
      </w:r>
      <w:r w:rsidR="004F039B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данные, характеризующие развитие экономики и социальной сферы за 201</w:t>
      </w:r>
      <w:r w:rsidR="004F039B" w:rsidRPr="00C24CFA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="004F039B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4F039B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свидетельствуют </w:t>
      </w:r>
      <w:r w:rsidR="004F039B" w:rsidRPr="00C24CFA">
        <w:rPr>
          <w:rFonts w:ascii="Times New Roman" w:eastAsia="Times New Roman" w:hAnsi="Times New Roman"/>
          <w:sz w:val="28"/>
          <w:szCs w:val="28"/>
          <w:lang w:eastAsia="x-none"/>
        </w:rPr>
        <w:t xml:space="preserve">также </w:t>
      </w:r>
      <w:r w:rsidR="004F039B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>о положительной динамике большинства показателей индикативного плана социально-экономического развития муниципального образования Тимашевский район</w:t>
      </w:r>
      <w:r w:rsidR="004F039B" w:rsidRPr="00C24CFA">
        <w:rPr>
          <w:rFonts w:ascii="Times New Roman" w:eastAsia="Times New Roman" w:hAnsi="Times New Roman"/>
          <w:sz w:val="28"/>
          <w:szCs w:val="28"/>
          <w:lang w:eastAsia="x-none"/>
        </w:rPr>
        <w:t xml:space="preserve"> на 2016 год</w:t>
      </w:r>
      <w:r w:rsidR="004F039B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4F039B" w:rsidRPr="00C24CFA" w:rsidRDefault="004F039B" w:rsidP="00BC5F5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Объем промышленного производства в Тимашевском районе составил 43,7 миллиардов рублей, что соответствует выполнению планового задания на 104 процента. Высокие результаты достигнуты в пищевой промышленности, производстве готовых металлических изделий, целлюлозно-бумажном прои</w:t>
      </w:r>
      <w:r w:rsidRPr="00C24CFA">
        <w:rPr>
          <w:rFonts w:ascii="Times New Roman" w:hAnsi="Times New Roman"/>
          <w:sz w:val="28"/>
          <w:szCs w:val="28"/>
        </w:rPr>
        <w:t>з</w:t>
      </w:r>
      <w:r w:rsidRPr="00C24CFA">
        <w:rPr>
          <w:rFonts w:ascii="Times New Roman" w:hAnsi="Times New Roman"/>
          <w:sz w:val="28"/>
          <w:szCs w:val="28"/>
        </w:rPr>
        <w:t>водстве, химической отрасли. Достигнут высокий уровень выполнения план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вых заданий в натуральном выражении по консервам плодоовощным (111,3%), комбикормам (172,3%), таро-упаковочной продукции (101,2%). По объемам производства промышленной продукции район стабильно входит в тройку л</w:t>
      </w:r>
      <w:r w:rsidRPr="00C24CFA">
        <w:rPr>
          <w:rFonts w:ascii="Times New Roman" w:hAnsi="Times New Roman"/>
          <w:sz w:val="28"/>
          <w:szCs w:val="28"/>
        </w:rPr>
        <w:t>и</w:t>
      </w:r>
      <w:r w:rsidRPr="00C24CFA">
        <w:rPr>
          <w:rFonts w:ascii="Times New Roman" w:hAnsi="Times New Roman"/>
          <w:sz w:val="28"/>
          <w:szCs w:val="28"/>
        </w:rPr>
        <w:t>деров.</w:t>
      </w:r>
    </w:p>
    <w:p w:rsidR="00FB7156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Объем продукции сельского хозяйства, произведенной в хозяйствах всех категорий, в 2016 году составил 13,5 миллиарда рублей (плановое задание в</w:t>
      </w:r>
      <w:r w:rsidRPr="00C24CFA">
        <w:rPr>
          <w:rFonts w:ascii="Times New Roman" w:hAnsi="Times New Roman"/>
          <w:sz w:val="28"/>
          <w:szCs w:val="28"/>
        </w:rPr>
        <w:t>ы</w:t>
      </w:r>
      <w:r w:rsidRPr="00C24CFA">
        <w:rPr>
          <w:rFonts w:ascii="Times New Roman" w:hAnsi="Times New Roman"/>
          <w:sz w:val="28"/>
          <w:szCs w:val="28"/>
        </w:rPr>
        <w:t xml:space="preserve">полнено на 117,3 процента, рост по отношению к уровню 2015 года составил 9,3 процента). 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Четыре года подряд Тимашевский район входит в число лидеров по пр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 xml:space="preserve">изводству зерна в крае, заняв в 2016 году второе место по центральной зоне в краевом соревновании «Жатва 2016». Вклад </w:t>
      </w:r>
      <w:proofErr w:type="spellStart"/>
      <w:r w:rsidRPr="00C24CFA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C24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CFA">
        <w:rPr>
          <w:rFonts w:ascii="Times New Roman" w:hAnsi="Times New Roman"/>
          <w:sz w:val="28"/>
          <w:szCs w:val="28"/>
        </w:rPr>
        <w:t>Т</w:t>
      </w:r>
      <w:r w:rsidRPr="00C24CFA">
        <w:rPr>
          <w:rFonts w:ascii="Times New Roman" w:hAnsi="Times New Roman"/>
          <w:sz w:val="28"/>
          <w:szCs w:val="28"/>
        </w:rPr>
        <w:t>и</w:t>
      </w:r>
      <w:r w:rsidRPr="00C24CFA">
        <w:rPr>
          <w:rFonts w:ascii="Times New Roman" w:hAnsi="Times New Roman"/>
          <w:sz w:val="28"/>
          <w:szCs w:val="28"/>
        </w:rPr>
        <w:t>машевского</w:t>
      </w:r>
      <w:proofErr w:type="spellEnd"/>
      <w:r w:rsidRPr="00C24CFA">
        <w:rPr>
          <w:rFonts w:ascii="Times New Roman" w:hAnsi="Times New Roman"/>
          <w:sz w:val="28"/>
          <w:szCs w:val="28"/>
        </w:rPr>
        <w:t xml:space="preserve"> района в общий кубанский каравай превысил 352 тыс.тонн, ур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 xml:space="preserve">жайность зерновых колосовых и зернобобовых культур составила 66,3 ц/га, а озимой пшеницы – 67,2 ц/га. Достигнут высокий уровень выполнения плановых заданий в натуральном выражении по валовому сбору зерна (103,2% от плана), картофеля (111,5%),  овощей (117,2%), сахарной свеклы (130%), плодов и ягод (118,2%). </w:t>
      </w:r>
    </w:p>
    <w:p w:rsidR="009719BC" w:rsidRPr="00C24CFA" w:rsidRDefault="004F039B" w:rsidP="00BC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Сложная ситуация в животноводческой отрасли. Незначительно удалось увеличить численность крупного рогатого скота, в том числе коров. Поголовье дойного стада осталось практически на уровне 2015 года и составляет 6434 г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 xml:space="preserve">ловы, 103,3% к плану, рост на 10 голов.  </w:t>
      </w:r>
      <w:r w:rsidR="009719BC" w:rsidRPr="00C24CFA">
        <w:rPr>
          <w:rFonts w:ascii="Times New Roman" w:hAnsi="Times New Roman"/>
          <w:sz w:val="28"/>
          <w:szCs w:val="28"/>
        </w:rPr>
        <w:t xml:space="preserve">Не выполнен план по производству молока (91,6%) в связи со снижением продуктивности дойного стада на 536 кг, или на 7,8%, яиц (63%) в связи с сокращением поголовья  кур-несушек на 94 </w:t>
      </w:r>
      <w:proofErr w:type="spellStart"/>
      <w:r w:rsidR="009719BC" w:rsidRPr="00C24CFA">
        <w:rPr>
          <w:rFonts w:ascii="Times New Roman" w:hAnsi="Times New Roman"/>
          <w:sz w:val="28"/>
          <w:szCs w:val="28"/>
        </w:rPr>
        <w:t>тыс.голов</w:t>
      </w:r>
      <w:proofErr w:type="spellEnd"/>
      <w:r w:rsidR="009719BC" w:rsidRPr="00C24CFA">
        <w:rPr>
          <w:rFonts w:ascii="Times New Roman" w:hAnsi="Times New Roman"/>
          <w:sz w:val="28"/>
          <w:szCs w:val="28"/>
        </w:rPr>
        <w:t xml:space="preserve"> в  ЗАО ППФ «Тимашевская».</w:t>
      </w:r>
    </w:p>
    <w:p w:rsidR="004F039B" w:rsidRPr="00C24CFA" w:rsidRDefault="004F039B" w:rsidP="00BC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Скот и птица на убой  во всех категориях хозяйств составили 10,4 тыс. тонн, что по сравнению с прошлым годом больше  на 1,7 тыс. тонн, или на 19,5%. Выполнение индикативного плана составило 93,7%.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 xml:space="preserve">Птицеводами района получено 41,5 млн. штук яиц, что меньше на 15 </w:t>
      </w:r>
      <w:proofErr w:type="spellStart"/>
      <w:r w:rsidRPr="00C24CFA">
        <w:rPr>
          <w:rFonts w:ascii="Times New Roman" w:hAnsi="Times New Roman"/>
          <w:sz w:val="28"/>
          <w:szCs w:val="28"/>
        </w:rPr>
        <w:t>млн.шт</w:t>
      </w:r>
      <w:proofErr w:type="spellEnd"/>
      <w:r w:rsidRPr="00C24CFA">
        <w:rPr>
          <w:rFonts w:ascii="Times New Roman" w:hAnsi="Times New Roman"/>
          <w:sz w:val="28"/>
          <w:szCs w:val="28"/>
        </w:rPr>
        <w:t>, или на 37%, план выполнен на 63%.  Уменьшение объема вызвано с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кращением взрослого поголовья  на основном предприятии, специализиру</w:t>
      </w:r>
      <w:r w:rsidRPr="00C24CFA">
        <w:rPr>
          <w:rFonts w:ascii="Times New Roman" w:hAnsi="Times New Roman"/>
          <w:sz w:val="28"/>
          <w:szCs w:val="28"/>
        </w:rPr>
        <w:t>ю</w:t>
      </w:r>
      <w:r w:rsidRPr="00C24CFA">
        <w:rPr>
          <w:rFonts w:ascii="Times New Roman" w:hAnsi="Times New Roman"/>
          <w:sz w:val="28"/>
          <w:szCs w:val="28"/>
        </w:rPr>
        <w:t>щемся на производстве яйца куриного.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Объем привлеченных в экономику района инвестиций в основной капитал за 9 месяцев  2016 года составил свыше 1,4 миллиарда рублей, что на 16 пр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центов ниже планового задания или 102,5 процента к соответствующему уро</w:t>
      </w:r>
      <w:r w:rsidRPr="00C24CFA">
        <w:rPr>
          <w:rFonts w:ascii="Times New Roman" w:hAnsi="Times New Roman"/>
          <w:sz w:val="28"/>
          <w:szCs w:val="28"/>
        </w:rPr>
        <w:t>в</w:t>
      </w:r>
      <w:r w:rsidRPr="00C24CFA">
        <w:rPr>
          <w:rFonts w:ascii="Times New Roman" w:hAnsi="Times New Roman"/>
          <w:sz w:val="28"/>
          <w:szCs w:val="28"/>
        </w:rPr>
        <w:t xml:space="preserve">ню 2015 года. </w:t>
      </w:r>
      <w:r w:rsidR="009719BC" w:rsidRPr="00C24CFA">
        <w:rPr>
          <w:rFonts w:ascii="Times New Roman" w:hAnsi="Times New Roman"/>
          <w:sz w:val="28"/>
          <w:szCs w:val="28"/>
        </w:rPr>
        <w:t xml:space="preserve">По итогам года ожидается освоение инвестиций по цеху детского </w:t>
      </w:r>
      <w:r w:rsidR="009719BC" w:rsidRPr="00C24CFA">
        <w:rPr>
          <w:rFonts w:ascii="Times New Roman" w:hAnsi="Times New Roman"/>
          <w:sz w:val="28"/>
          <w:szCs w:val="28"/>
        </w:rPr>
        <w:lastRenderedPageBreak/>
        <w:t>питания филиала АО ВБД «Тимашевский молочный комбинат» в объеме 300 млн. руб., Тимашевским Сахарным заводом – 250 млн.руб.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Объем строительных работ за 2016 год, выполненных по договорам строительного подряда крупными организациями, составил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22,2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млн. рублей, что меньше на 99,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%. Снижение объемов связано с тем, что в 2016 году </w:t>
      </w:r>
      <w:r w:rsidRPr="00C24CFA">
        <w:rPr>
          <w:rFonts w:ascii="Times New Roman" w:eastAsia="Times New Roman" w:hAnsi="Times New Roman"/>
          <w:sz w:val="28"/>
          <w:szCs w:val="28"/>
          <w:lang w:val="x-none"/>
        </w:rPr>
        <w:t xml:space="preserve">обособленное подразделение ООО «Аргус </w:t>
      </w:r>
      <w:proofErr w:type="spellStart"/>
      <w:r w:rsidRPr="00C24CFA">
        <w:rPr>
          <w:rFonts w:ascii="Times New Roman" w:eastAsia="Times New Roman" w:hAnsi="Times New Roman"/>
          <w:sz w:val="28"/>
          <w:szCs w:val="28"/>
          <w:lang w:val="x-none"/>
        </w:rPr>
        <w:t>Пайплайн</w:t>
      </w:r>
      <w:proofErr w:type="spellEnd"/>
      <w:r w:rsidRPr="00C24CFA">
        <w:rPr>
          <w:rFonts w:ascii="Times New Roman" w:eastAsia="Times New Roman" w:hAnsi="Times New Roman"/>
          <w:sz w:val="28"/>
          <w:szCs w:val="28"/>
          <w:lang w:val="x-none"/>
        </w:rPr>
        <w:t xml:space="preserve"> Сервис-Север» не отчитывается в отдел статистики по г.Тимашевску. А так же 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АО «Тимашевскрайгаз» с июля 2015 года изменил вид деятельности и перестал выполнять строительные работы. 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Введено в эксплуатацию 32890 кв.м. жилья, что на 27,1% ниже соотве</w:t>
      </w:r>
      <w:r w:rsidRPr="00C24CFA">
        <w:rPr>
          <w:rFonts w:ascii="Times New Roman" w:hAnsi="Times New Roman"/>
          <w:sz w:val="28"/>
          <w:szCs w:val="28"/>
        </w:rPr>
        <w:t>т</w:t>
      </w:r>
      <w:r w:rsidRPr="00C24CFA">
        <w:rPr>
          <w:rFonts w:ascii="Times New Roman" w:hAnsi="Times New Roman"/>
          <w:sz w:val="28"/>
          <w:szCs w:val="28"/>
        </w:rPr>
        <w:t xml:space="preserve">ствующего периода прошлого года. 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Снижение вызвано тем, что в 2015 году введены в эксплуатацию 2 мног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квартирных дома, общей площадью 966 кв.м., а в 2016 году – введен в эксплу</w:t>
      </w:r>
      <w:r w:rsidRPr="00C24CFA">
        <w:rPr>
          <w:rFonts w:ascii="Times New Roman" w:hAnsi="Times New Roman"/>
          <w:sz w:val="28"/>
          <w:szCs w:val="28"/>
        </w:rPr>
        <w:t>а</w:t>
      </w:r>
      <w:r w:rsidRPr="00C24CFA">
        <w:rPr>
          <w:rFonts w:ascii="Times New Roman" w:hAnsi="Times New Roman"/>
          <w:sz w:val="28"/>
          <w:szCs w:val="28"/>
        </w:rPr>
        <w:t xml:space="preserve">тацию 12 квартирный дом общей площадью 419 кв.м. и </w:t>
      </w:r>
      <w:r w:rsidRPr="00C24CFA">
        <w:rPr>
          <w:rFonts w:ascii="Times New Roman" w:hAnsi="Times New Roman"/>
          <w:color w:val="000000"/>
          <w:sz w:val="28"/>
          <w:szCs w:val="28"/>
        </w:rPr>
        <w:t>многоквартирный ж</w:t>
      </w:r>
      <w:r w:rsidRPr="00C24CFA">
        <w:rPr>
          <w:rFonts w:ascii="Times New Roman" w:hAnsi="Times New Roman"/>
          <w:color w:val="000000"/>
          <w:sz w:val="28"/>
          <w:szCs w:val="28"/>
        </w:rPr>
        <w:t>и</w:t>
      </w:r>
      <w:r w:rsidRPr="00C24CFA">
        <w:rPr>
          <w:rFonts w:ascii="Times New Roman" w:hAnsi="Times New Roman"/>
          <w:color w:val="000000"/>
          <w:sz w:val="28"/>
          <w:szCs w:val="28"/>
        </w:rPr>
        <w:t xml:space="preserve">лой дом общей </w:t>
      </w:r>
      <w:proofErr w:type="spellStart"/>
      <w:r w:rsidRPr="00C24CFA">
        <w:rPr>
          <w:rFonts w:ascii="Times New Roman" w:hAnsi="Times New Roman"/>
          <w:color w:val="000000"/>
          <w:sz w:val="28"/>
          <w:szCs w:val="28"/>
        </w:rPr>
        <w:t>плошадью</w:t>
      </w:r>
      <w:proofErr w:type="spellEnd"/>
      <w:r w:rsidRPr="00C24CFA">
        <w:rPr>
          <w:rFonts w:ascii="Times New Roman" w:hAnsi="Times New Roman"/>
          <w:color w:val="000000"/>
          <w:sz w:val="28"/>
          <w:szCs w:val="28"/>
        </w:rPr>
        <w:t xml:space="preserve"> 535,5 </w:t>
      </w:r>
      <w:proofErr w:type="spellStart"/>
      <w:r w:rsidRPr="00C24CFA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C24CFA">
        <w:rPr>
          <w:rFonts w:ascii="Times New Roman" w:hAnsi="Times New Roman"/>
          <w:sz w:val="28"/>
          <w:szCs w:val="28"/>
        </w:rPr>
        <w:t>.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Кроме того, три многоквартирных дома, предполагаемые к вводу в  2016 году общей жилой площадью 3,308 тыс.кв.м, не введены, застройщиками пр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длены разрешения на строительство.</w:t>
      </w:r>
    </w:p>
    <w:p w:rsidR="004F039B" w:rsidRPr="00C24CFA" w:rsidRDefault="004F039B" w:rsidP="00BC5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Индивидуальными застройщиками введено в эксплуатацию 32471 кв.м. жилья, что ниже на 26,5 % уровня аналогичного периода 2015 года. Снижение вызвано ростом цен на стройматериалы, а также ограниченным количеством свободных земель.</w:t>
      </w:r>
    </w:p>
    <w:p w:rsidR="004F039B" w:rsidRPr="00C24CFA" w:rsidRDefault="004F039B" w:rsidP="00BC5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ab/>
        <w:t>Темпы роста ввода жилья ниже запланированных на 32,4%,  исполнение индикативного плана составляет 69,2%.</w:t>
      </w:r>
    </w:p>
    <w:p w:rsidR="004F039B" w:rsidRPr="00C24CFA" w:rsidRDefault="004F039B" w:rsidP="00BC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Положительные итоги развития отмечены в 2016 году на рынке товаров и услуг. Прирост к 2015 году обеспечены по обороту розничной торговли (101,1 процентов по отношению к уровню 2015 года), обороту общественного питания (105,9 процентов). Исполнение индикативного плана составляет 94,3% и 91,4% соответственно.</w:t>
      </w:r>
    </w:p>
    <w:p w:rsidR="004F039B" w:rsidRPr="00C24CFA" w:rsidRDefault="004F039B" w:rsidP="00BC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Прибыль прибыльных предприятий составила 4,3 миллиарда рублей, или 162,6 процентов по отношению к итогам 11 месяцев 2015 года. План выполнен на 196 процентов.</w:t>
      </w:r>
    </w:p>
    <w:p w:rsidR="005E1203" w:rsidRPr="00C24CFA" w:rsidRDefault="005E1203" w:rsidP="00125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В 2016 году 20</w:t>
      </w:r>
      <w:r w:rsidR="00B657B2" w:rsidRPr="00C24CFA">
        <w:rPr>
          <w:rFonts w:ascii="Times New Roman" w:hAnsi="Times New Roman"/>
          <w:sz w:val="28"/>
          <w:szCs w:val="28"/>
        </w:rPr>
        <w:t xml:space="preserve"> предприятий района являлись</w:t>
      </w:r>
      <w:r w:rsidRPr="00C24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CFA">
        <w:rPr>
          <w:rFonts w:ascii="Times New Roman" w:hAnsi="Times New Roman"/>
          <w:sz w:val="28"/>
          <w:szCs w:val="28"/>
        </w:rPr>
        <w:t>бюджет</w:t>
      </w:r>
      <w:r w:rsidR="00B657B2" w:rsidRPr="00C24CFA">
        <w:rPr>
          <w:rFonts w:ascii="Times New Roman" w:hAnsi="Times New Roman"/>
          <w:sz w:val="28"/>
          <w:szCs w:val="28"/>
        </w:rPr>
        <w:t>ообразующими</w:t>
      </w:r>
      <w:proofErr w:type="spellEnd"/>
      <w:r w:rsidR="00B657B2" w:rsidRPr="00C24CFA">
        <w:rPr>
          <w:rFonts w:ascii="Times New Roman" w:hAnsi="Times New Roman"/>
          <w:sz w:val="28"/>
          <w:szCs w:val="28"/>
        </w:rPr>
        <w:t>, их которых 40%</w:t>
      </w:r>
      <w:r w:rsidR="00354800" w:rsidRPr="00C24CFA">
        <w:rPr>
          <w:rFonts w:ascii="Times New Roman" w:hAnsi="Times New Roman"/>
          <w:sz w:val="28"/>
          <w:szCs w:val="28"/>
        </w:rPr>
        <w:t xml:space="preserve"> </w:t>
      </w:r>
      <w:r w:rsidR="00B657B2" w:rsidRPr="00C24CFA">
        <w:rPr>
          <w:rFonts w:ascii="Times New Roman" w:hAnsi="Times New Roman"/>
          <w:sz w:val="28"/>
          <w:szCs w:val="28"/>
        </w:rPr>
        <w:t xml:space="preserve">- доля предприятий АПК. </w:t>
      </w:r>
    </w:p>
    <w:p w:rsidR="00B657B2" w:rsidRPr="00C24CFA" w:rsidRDefault="00B657B2" w:rsidP="00125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5176" w:rsidRPr="00C24CFA" w:rsidRDefault="00B657B2" w:rsidP="00125176">
      <w:pPr>
        <w:pStyle w:val="af4"/>
        <w:keepNext/>
        <w:tabs>
          <w:tab w:val="left" w:pos="684"/>
        </w:tabs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4CFA">
        <w:rPr>
          <w:rFonts w:ascii="Times New Roman" w:hAnsi="Times New Roman"/>
          <w:b/>
          <w:color w:val="000000"/>
          <w:sz w:val="28"/>
          <w:szCs w:val="28"/>
        </w:rPr>
        <w:t xml:space="preserve">Отраслевая принадлежность </w:t>
      </w:r>
      <w:proofErr w:type="spellStart"/>
      <w:r w:rsidRPr="00C24CFA">
        <w:rPr>
          <w:rFonts w:ascii="Times New Roman" w:hAnsi="Times New Roman"/>
          <w:b/>
          <w:color w:val="000000"/>
          <w:sz w:val="28"/>
          <w:szCs w:val="28"/>
        </w:rPr>
        <w:t>бю</w:t>
      </w:r>
      <w:r w:rsidR="00125176" w:rsidRPr="00C24CFA">
        <w:rPr>
          <w:rFonts w:ascii="Times New Roman" w:hAnsi="Times New Roman"/>
          <w:b/>
          <w:color w:val="000000"/>
          <w:sz w:val="28"/>
          <w:szCs w:val="28"/>
        </w:rPr>
        <w:t>джетообразующих</w:t>
      </w:r>
      <w:proofErr w:type="spellEnd"/>
      <w:r w:rsidR="00125176" w:rsidRPr="00C24CFA">
        <w:rPr>
          <w:rFonts w:ascii="Times New Roman" w:hAnsi="Times New Roman"/>
          <w:b/>
          <w:color w:val="000000"/>
          <w:sz w:val="28"/>
          <w:szCs w:val="28"/>
        </w:rPr>
        <w:t xml:space="preserve"> предприятий</w:t>
      </w:r>
      <w:r w:rsidR="00BD496D" w:rsidRPr="00C24CFA">
        <w:rPr>
          <w:rFonts w:ascii="Times New Roman" w:hAnsi="Times New Roman"/>
          <w:b/>
          <w:color w:val="000000"/>
          <w:sz w:val="28"/>
          <w:szCs w:val="28"/>
        </w:rPr>
        <w:t xml:space="preserve"> за 2016 год</w:t>
      </w:r>
      <w:r w:rsidR="00125176" w:rsidRPr="00C24CFA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9506" w:type="dxa"/>
        <w:tblInd w:w="93" w:type="dxa"/>
        <w:tblLook w:val="04A0" w:firstRow="1" w:lastRow="0" w:firstColumn="1" w:lastColumn="0" w:noHBand="0" w:noVBand="1"/>
      </w:tblPr>
      <w:tblGrid>
        <w:gridCol w:w="4410"/>
        <w:gridCol w:w="5096"/>
      </w:tblGrid>
      <w:tr w:rsidR="00125176" w:rsidRPr="00C24CFA" w:rsidTr="00C434B4">
        <w:trPr>
          <w:trHeight w:val="2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Отрасль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предприятия</w:t>
            </w:r>
          </w:p>
        </w:tc>
      </w:tr>
      <w:tr w:rsidR="00125176" w:rsidRPr="00C24CFA" w:rsidTr="00C434B4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аренда не </w:t>
            </w:r>
            <w:r w:rsidR="00B40ED5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жилых</w:t>
            </w: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помещений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ОАО "Тимашевскрайгаз"</w:t>
            </w:r>
          </w:p>
        </w:tc>
      </w:tr>
      <w:tr w:rsidR="00125176" w:rsidRPr="00C24CFA" w:rsidTr="00C434B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целюлоз-бумажн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АО "АР КАРТОН"</w:t>
            </w:r>
          </w:p>
        </w:tc>
      </w:tr>
      <w:tr w:rsidR="00125176" w:rsidRPr="00C24CFA" w:rsidTr="00C434B4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металлобработка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B657B2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ООО </w:t>
            </w:r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Краун</w:t>
            </w:r>
            <w:proofErr w:type="spellEnd"/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Кор</w:t>
            </w: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Кубань"</w:t>
            </w:r>
          </w:p>
        </w:tc>
      </w:tr>
      <w:tr w:rsidR="00125176" w:rsidRPr="00C24CFA" w:rsidTr="00C434B4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целюлоз-бумажн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B657B2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Пэкэджинг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Кубань"</w:t>
            </w:r>
          </w:p>
        </w:tc>
      </w:tr>
      <w:tr w:rsidR="00125176" w:rsidRPr="00C24CFA" w:rsidTr="00C434B4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химическая </w:t>
            </w: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пр-ть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B657B2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"Кубань-Полимер</w:t>
            </w:r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</w:tr>
      <w:tr w:rsidR="00125176" w:rsidRPr="00C24CFA" w:rsidTr="00C434B4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пр-во резины и пластмасс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B657B2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Констанция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Кубань"</w:t>
            </w:r>
          </w:p>
        </w:tc>
      </w:tr>
      <w:tr w:rsidR="00125176" w:rsidRPr="00C24CFA" w:rsidTr="00C434B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аренда помещений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lang w:eastAsia="ru-RU"/>
              </w:rPr>
              <w:t>ЗАО "Тетра Пак Кубань"</w:t>
            </w:r>
          </w:p>
        </w:tc>
      </w:tr>
      <w:tr w:rsidR="00125176" w:rsidRPr="00C24CFA" w:rsidTr="00C434B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lang w:eastAsia="ru-RU"/>
              </w:rPr>
              <w:t>ООО "Монтажник"</w:t>
            </w:r>
          </w:p>
        </w:tc>
      </w:tr>
      <w:tr w:rsidR="00125176" w:rsidRPr="00C24CFA" w:rsidTr="00C434B4">
        <w:trPr>
          <w:trHeight w:val="2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дорожная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НАО "Тимашевское ДРСУ"</w:t>
            </w:r>
          </w:p>
        </w:tc>
      </w:tr>
      <w:tr w:rsidR="00125176" w:rsidRPr="00C24CFA" w:rsidTr="00C434B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растениеводство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АО "Холдинговая компания - агрофирма "Россия"</w:t>
            </w:r>
          </w:p>
        </w:tc>
      </w:tr>
      <w:tr w:rsidR="00125176" w:rsidRPr="00C24CFA" w:rsidTr="00C434B4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ОАО Кондитерский комбинат "Кубань"</w:t>
            </w:r>
          </w:p>
        </w:tc>
      </w:tr>
      <w:tr w:rsidR="00125176" w:rsidRPr="00C24CFA" w:rsidTr="00C434B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"Кубанские консервы"</w:t>
            </w:r>
          </w:p>
        </w:tc>
      </w:tr>
      <w:tr w:rsidR="00125176" w:rsidRPr="00C24CFA" w:rsidTr="00C434B4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хлебопечение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"Хлебокомбинат Тимашевского райпо"</w:t>
            </w:r>
          </w:p>
        </w:tc>
      </w:tr>
      <w:tr w:rsidR="00125176" w:rsidRPr="00C24CFA" w:rsidTr="00C434B4">
        <w:trPr>
          <w:trHeight w:val="2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разведение сельско-хозяйственной птицы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lang w:eastAsia="ru-RU"/>
              </w:rPr>
              <w:t>ЗАО "ППФ Тимашевская"</w:t>
            </w:r>
          </w:p>
        </w:tc>
      </w:tr>
      <w:tr w:rsidR="00125176" w:rsidRPr="00C24CFA" w:rsidTr="00C434B4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B657B2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ОАО </w:t>
            </w:r>
            <w:r w:rsidR="00125176"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ТК "Прогресс"</w:t>
            </w:r>
          </w:p>
        </w:tc>
      </w:tr>
      <w:tr w:rsidR="00125176" w:rsidRPr="00C24CFA" w:rsidTr="00C434B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ОАО </w:t>
            </w: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Саф</w:t>
            </w:r>
            <w:proofErr w:type="spellEnd"/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"Русь"</w:t>
            </w:r>
          </w:p>
        </w:tc>
      </w:tr>
      <w:tr w:rsidR="00125176" w:rsidRPr="00C24CFA" w:rsidTr="00C434B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"Садовод"</w:t>
            </w:r>
          </w:p>
        </w:tc>
      </w:tr>
      <w:tr w:rsidR="00125176" w:rsidRPr="00C24CFA" w:rsidTr="00C434B4">
        <w:trPr>
          <w:trHeight w:val="5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производство готовых кормов для живо</w:t>
            </w: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ных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lang w:eastAsia="ru-RU"/>
              </w:rPr>
              <w:t>ПАО "Хлеб Кубани"</w:t>
            </w:r>
          </w:p>
        </w:tc>
      </w:tr>
      <w:tr w:rsidR="00125176" w:rsidRPr="00C24CFA" w:rsidTr="00C434B4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Переработка сахарной свеклы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«Тимашевский сахарный завод»</w:t>
            </w:r>
          </w:p>
        </w:tc>
      </w:tr>
      <w:tr w:rsidR="00125176" w:rsidRPr="00C24CFA" w:rsidTr="00C434B4">
        <w:trPr>
          <w:trHeight w:val="26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хранение и складирование зерна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76" w:rsidRPr="00C24CFA" w:rsidRDefault="00125176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lang w:eastAsia="ru-RU"/>
              </w:rPr>
              <w:t>ООО "Тимашевский элеватор"</w:t>
            </w:r>
          </w:p>
        </w:tc>
      </w:tr>
    </w:tbl>
    <w:p w:rsidR="00B35049" w:rsidRPr="00C24CFA" w:rsidRDefault="00B35049" w:rsidP="00B350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1203" w:rsidRPr="00C24CFA" w:rsidRDefault="005E1203" w:rsidP="005E12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CFA">
        <w:rPr>
          <w:rFonts w:ascii="Times New Roman" w:hAnsi="Times New Roman"/>
          <w:sz w:val="28"/>
          <w:szCs w:val="28"/>
        </w:rPr>
        <w:t>По итогам 2016 года из 20 бюджетообразующих предприятий наблюдае</w:t>
      </w:r>
      <w:r w:rsidRPr="00C24CFA">
        <w:rPr>
          <w:rFonts w:ascii="Times New Roman" w:hAnsi="Times New Roman"/>
          <w:sz w:val="28"/>
          <w:szCs w:val="28"/>
        </w:rPr>
        <w:t>т</w:t>
      </w:r>
      <w:r w:rsidRPr="00C24CFA">
        <w:rPr>
          <w:rFonts w:ascii="Times New Roman" w:hAnsi="Times New Roman"/>
          <w:sz w:val="28"/>
          <w:szCs w:val="28"/>
        </w:rPr>
        <w:t>ся рост чистой прибыли у 9</w:t>
      </w:r>
      <w:r w:rsidR="00B35049" w:rsidRPr="00C24CFA">
        <w:rPr>
          <w:rFonts w:ascii="Times New Roman" w:hAnsi="Times New Roman"/>
          <w:sz w:val="28"/>
          <w:szCs w:val="28"/>
        </w:rPr>
        <w:t xml:space="preserve"> организаций (</w:t>
      </w:r>
      <w:r w:rsidRPr="00C24CFA">
        <w:rPr>
          <w:rFonts w:ascii="Times New Roman" w:hAnsi="Times New Roman"/>
          <w:sz w:val="28"/>
          <w:szCs w:val="28"/>
        </w:rPr>
        <w:t>АО «АР Картон», ОАО ТК «Пр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гресс», ООО "Садовод", ООО «Хлебокомбинат Тимашевского райпо», ООО "Кубанские консервы" ПАО «Хлеб Кубани», ООО «Тимашевский сахарный з</w:t>
      </w:r>
      <w:r w:rsidRPr="00C24CFA">
        <w:rPr>
          <w:rFonts w:ascii="Times New Roman" w:hAnsi="Times New Roman"/>
          <w:sz w:val="28"/>
          <w:szCs w:val="28"/>
        </w:rPr>
        <w:t>а</w:t>
      </w:r>
      <w:r w:rsidRPr="00C24CFA">
        <w:rPr>
          <w:rFonts w:ascii="Times New Roman" w:hAnsi="Times New Roman"/>
          <w:sz w:val="28"/>
          <w:szCs w:val="28"/>
        </w:rPr>
        <w:t>вод», ЗАО «Констанция Кубань», ЗАО «Тетра Пак Кубань», ООО "Кубанские консервы</w:t>
      </w:r>
      <w:r w:rsidRPr="00C24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"Тимашевский элеватор"</w:t>
      </w:r>
      <w:r w:rsidRPr="00C24CFA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5E1203" w:rsidRPr="00C24CFA" w:rsidRDefault="005E1203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>Наибольшее снижение чистой прибыли в 2016 году в сравнении с 2015 годом наблюдается у ЗАО «Пэкэджинг Ку</w:t>
      </w:r>
      <w:r w:rsidR="00B35049" w:rsidRPr="00C24CFA">
        <w:rPr>
          <w:rFonts w:ascii="Times New Roman" w:hAnsi="Times New Roman"/>
          <w:sz w:val="28"/>
          <w:szCs w:val="28"/>
        </w:rPr>
        <w:t>бань» на 43% (не стабильность д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>л</w:t>
      </w:r>
      <w:r w:rsidRPr="00C24CFA">
        <w:rPr>
          <w:rFonts w:ascii="Times New Roman" w:hAnsi="Times New Roman"/>
          <w:sz w:val="28"/>
          <w:szCs w:val="28"/>
        </w:rPr>
        <w:t>лара США, курсовые разницы, рост процентных ставок по кредитам в ин</w:t>
      </w:r>
      <w:r w:rsidRPr="00C24CFA">
        <w:rPr>
          <w:rFonts w:ascii="Times New Roman" w:hAnsi="Times New Roman"/>
          <w:sz w:val="28"/>
          <w:szCs w:val="28"/>
        </w:rPr>
        <w:t>о</w:t>
      </w:r>
      <w:r w:rsidRPr="00C24CFA">
        <w:rPr>
          <w:rFonts w:ascii="Times New Roman" w:hAnsi="Times New Roman"/>
          <w:sz w:val="28"/>
          <w:szCs w:val="28"/>
        </w:rPr>
        <w:t xml:space="preserve">странной валюте). </w:t>
      </w:r>
    </w:p>
    <w:p w:rsidR="005E1203" w:rsidRPr="00C24CFA" w:rsidRDefault="005E1203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CFA">
        <w:rPr>
          <w:rFonts w:ascii="Times New Roman" w:hAnsi="Times New Roman"/>
          <w:sz w:val="28"/>
          <w:szCs w:val="28"/>
        </w:rPr>
        <w:t xml:space="preserve">Получен убыток по сравнению с прибылью </w:t>
      </w:r>
      <w:r w:rsidR="00B35049" w:rsidRPr="00C24CFA">
        <w:rPr>
          <w:rFonts w:ascii="Times New Roman" w:hAnsi="Times New Roman"/>
          <w:sz w:val="28"/>
          <w:szCs w:val="28"/>
        </w:rPr>
        <w:t>2015 года предприятием ОАО «</w:t>
      </w:r>
      <w:proofErr w:type="spellStart"/>
      <w:r w:rsidR="00B35049" w:rsidRPr="00C24CFA">
        <w:rPr>
          <w:rFonts w:ascii="Times New Roman" w:hAnsi="Times New Roman"/>
          <w:sz w:val="28"/>
          <w:szCs w:val="28"/>
        </w:rPr>
        <w:t>Тимашевскрайгаз</w:t>
      </w:r>
      <w:proofErr w:type="spellEnd"/>
      <w:r w:rsidR="00B35049" w:rsidRPr="00C24CFA">
        <w:rPr>
          <w:rFonts w:ascii="Times New Roman" w:hAnsi="Times New Roman"/>
          <w:sz w:val="28"/>
          <w:szCs w:val="28"/>
        </w:rPr>
        <w:t xml:space="preserve">» (рост убытков </w:t>
      </w:r>
      <w:r w:rsidRPr="00C24CFA">
        <w:rPr>
          <w:rFonts w:ascii="Times New Roman" w:hAnsi="Times New Roman"/>
          <w:sz w:val="28"/>
          <w:szCs w:val="28"/>
        </w:rPr>
        <w:t>в 11 р</w:t>
      </w:r>
      <w:r w:rsidR="00B35049" w:rsidRPr="00C24CFA">
        <w:rPr>
          <w:rFonts w:ascii="Times New Roman" w:hAnsi="Times New Roman"/>
          <w:sz w:val="28"/>
          <w:szCs w:val="28"/>
        </w:rPr>
        <w:t xml:space="preserve">аз - </w:t>
      </w:r>
      <w:r w:rsidRPr="00C24CFA">
        <w:rPr>
          <w:rFonts w:ascii="Times New Roman" w:hAnsi="Times New Roman"/>
          <w:sz w:val="28"/>
          <w:szCs w:val="28"/>
        </w:rPr>
        <w:t>снижение возмещения затрат по содержанию газо</w:t>
      </w:r>
      <w:r w:rsidR="00B35049" w:rsidRPr="00C24CFA">
        <w:rPr>
          <w:rFonts w:ascii="Times New Roman" w:hAnsi="Times New Roman"/>
          <w:sz w:val="28"/>
          <w:szCs w:val="28"/>
        </w:rPr>
        <w:t>провода (зданий сооружений).</w:t>
      </w:r>
      <w:proofErr w:type="gramEnd"/>
    </w:p>
    <w:p w:rsidR="005E1203" w:rsidRPr="00C24CFA" w:rsidRDefault="00B35049" w:rsidP="00B35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4CFA">
        <w:rPr>
          <w:rFonts w:ascii="Times New Roman" w:hAnsi="Times New Roman"/>
          <w:sz w:val="28"/>
          <w:szCs w:val="28"/>
        </w:rPr>
        <w:t xml:space="preserve">Рост убытков в </w:t>
      </w:r>
      <w:r w:rsidR="005E1203" w:rsidRPr="00C24CFA">
        <w:rPr>
          <w:rFonts w:ascii="Times New Roman" w:hAnsi="Times New Roman"/>
          <w:sz w:val="28"/>
          <w:szCs w:val="28"/>
        </w:rPr>
        <w:t xml:space="preserve">2016 году в сравнении с </w:t>
      </w:r>
      <w:r w:rsidRPr="00C24CFA">
        <w:rPr>
          <w:rFonts w:ascii="Times New Roman" w:hAnsi="Times New Roman"/>
          <w:sz w:val="28"/>
          <w:szCs w:val="28"/>
        </w:rPr>
        <w:t>2015</w:t>
      </w:r>
      <w:r w:rsidR="005E1203" w:rsidRPr="00C24CFA">
        <w:rPr>
          <w:rFonts w:ascii="Times New Roman" w:hAnsi="Times New Roman"/>
          <w:sz w:val="28"/>
          <w:szCs w:val="28"/>
        </w:rPr>
        <w:t xml:space="preserve"> годом произошел у одного </w:t>
      </w:r>
      <w:proofErr w:type="spellStart"/>
      <w:r w:rsidR="005E1203" w:rsidRPr="00C24CFA">
        <w:rPr>
          <w:rFonts w:ascii="Times New Roman" w:hAnsi="Times New Roman"/>
          <w:sz w:val="28"/>
          <w:szCs w:val="28"/>
        </w:rPr>
        <w:t>бюджетообразующего</w:t>
      </w:r>
      <w:proofErr w:type="spellEnd"/>
      <w:r w:rsidR="005E1203" w:rsidRPr="00C24CFA">
        <w:rPr>
          <w:rFonts w:ascii="Times New Roman" w:hAnsi="Times New Roman"/>
          <w:sz w:val="28"/>
          <w:szCs w:val="28"/>
        </w:rPr>
        <w:t xml:space="preserve"> предприятия – ОАО «Монтажник» (за счет рост</w:t>
      </w:r>
      <w:r w:rsidRPr="00C24CFA">
        <w:rPr>
          <w:rFonts w:ascii="Times New Roman" w:hAnsi="Times New Roman"/>
          <w:sz w:val="28"/>
          <w:szCs w:val="28"/>
        </w:rPr>
        <w:t>а</w:t>
      </w:r>
      <w:r w:rsidR="005E1203" w:rsidRPr="00C24CFA">
        <w:rPr>
          <w:rFonts w:ascii="Times New Roman" w:hAnsi="Times New Roman"/>
          <w:sz w:val="28"/>
          <w:szCs w:val="28"/>
        </w:rPr>
        <w:t xml:space="preserve"> зат</w:t>
      </w:r>
      <w:r w:rsidRPr="00C24CFA">
        <w:rPr>
          <w:rFonts w:ascii="Times New Roman" w:hAnsi="Times New Roman"/>
          <w:sz w:val="28"/>
          <w:szCs w:val="28"/>
        </w:rPr>
        <w:t>рат при снижении объема работ).</w:t>
      </w:r>
    </w:p>
    <w:p w:rsidR="00CA3ABF" w:rsidRPr="00CA3ABF" w:rsidRDefault="00CA3ABF" w:rsidP="00CA3AB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 году р</w:t>
      </w:r>
      <w:r w:rsidRPr="00CA3ABF">
        <w:rPr>
          <w:rFonts w:ascii="Times New Roman" w:hAnsi="Times New Roman"/>
          <w:sz w:val="28"/>
          <w:szCs w:val="28"/>
        </w:rPr>
        <w:t>ост дебиторской задолженности</w:t>
      </w:r>
      <w:r>
        <w:rPr>
          <w:rFonts w:ascii="Times New Roman" w:hAnsi="Times New Roman"/>
          <w:sz w:val="28"/>
          <w:szCs w:val="28"/>
        </w:rPr>
        <w:t xml:space="preserve"> в сравнении 2015 годом</w:t>
      </w:r>
      <w:r w:rsidRPr="00CA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наблюдался </w:t>
      </w:r>
      <w:r w:rsidRPr="00CA3ABF">
        <w:rPr>
          <w:rFonts w:ascii="Times New Roman" w:hAnsi="Times New Roman"/>
          <w:sz w:val="28"/>
          <w:szCs w:val="28"/>
        </w:rPr>
        <w:t xml:space="preserve">у 6 </w:t>
      </w:r>
      <w:proofErr w:type="spellStart"/>
      <w:r w:rsidRPr="00CA3ABF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предприятий </w:t>
      </w:r>
      <w:r>
        <w:rPr>
          <w:rFonts w:ascii="Times New Roman" w:hAnsi="Times New Roman"/>
          <w:sz w:val="28"/>
          <w:szCs w:val="28"/>
        </w:rPr>
        <w:t>(</w:t>
      </w:r>
      <w:r w:rsidRPr="00CA3ABF">
        <w:rPr>
          <w:rFonts w:ascii="Times New Roman" w:hAnsi="Times New Roman"/>
          <w:sz w:val="28"/>
          <w:szCs w:val="28"/>
        </w:rPr>
        <w:t>ОАО "Хлеб Кубани" на 20%, ОАО КК "Кубань" на 27%, ЗАО "</w:t>
      </w:r>
      <w:proofErr w:type="spellStart"/>
      <w:r w:rsidRPr="00CA3ABF">
        <w:rPr>
          <w:rFonts w:ascii="Times New Roman" w:hAnsi="Times New Roman"/>
          <w:sz w:val="28"/>
          <w:szCs w:val="28"/>
        </w:rPr>
        <w:t>Констанция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Кубань" на 4%, ЗАО САФ "Русь" на 27%; ЗАО САФ «Русь» в 14%, ЗАО ППФ "Тимашевская" </w:t>
      </w:r>
      <w:proofErr w:type="gramStart"/>
      <w:r w:rsidRPr="00CA3ABF">
        <w:rPr>
          <w:rFonts w:ascii="Times New Roman" w:hAnsi="Times New Roman"/>
          <w:sz w:val="28"/>
          <w:szCs w:val="28"/>
        </w:rPr>
        <w:t>на</w:t>
      </w:r>
      <w:proofErr w:type="gramEnd"/>
      <w:r w:rsidRPr="00CA3ABF">
        <w:rPr>
          <w:rFonts w:ascii="Times New Roman" w:hAnsi="Times New Roman"/>
          <w:sz w:val="28"/>
          <w:szCs w:val="28"/>
        </w:rPr>
        <w:t xml:space="preserve"> 25%</w:t>
      </w:r>
      <w:r>
        <w:rPr>
          <w:rFonts w:ascii="Times New Roman" w:hAnsi="Times New Roman"/>
          <w:sz w:val="28"/>
          <w:szCs w:val="28"/>
        </w:rPr>
        <w:t>)</w:t>
      </w:r>
      <w:r w:rsidRPr="00CA3ABF">
        <w:rPr>
          <w:rFonts w:ascii="Times New Roman" w:hAnsi="Times New Roman"/>
          <w:sz w:val="28"/>
          <w:szCs w:val="28"/>
        </w:rPr>
        <w:t xml:space="preserve">. </w:t>
      </w:r>
    </w:p>
    <w:p w:rsidR="00CA3ABF" w:rsidRPr="00CA3ABF" w:rsidRDefault="00CA3ABF" w:rsidP="00CA3AB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ABF">
        <w:rPr>
          <w:rFonts w:ascii="Times New Roman" w:hAnsi="Times New Roman"/>
          <w:sz w:val="28"/>
          <w:szCs w:val="28"/>
        </w:rPr>
        <w:t>Снижение дебиторской задол</w:t>
      </w:r>
      <w:r>
        <w:rPr>
          <w:rFonts w:ascii="Times New Roman" w:hAnsi="Times New Roman"/>
          <w:sz w:val="28"/>
          <w:szCs w:val="28"/>
        </w:rPr>
        <w:t>женности в 2016 году в сравнении</w:t>
      </w:r>
      <w:r w:rsidRPr="00CA3ABF">
        <w:rPr>
          <w:rFonts w:ascii="Times New Roman" w:hAnsi="Times New Roman"/>
          <w:sz w:val="28"/>
          <w:szCs w:val="28"/>
        </w:rPr>
        <w:t xml:space="preserve"> с 2015 годом наблюдается у 3 </w:t>
      </w:r>
      <w:proofErr w:type="spellStart"/>
      <w:r w:rsidRPr="00CA3ABF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предприятий: </w:t>
      </w:r>
      <w:r>
        <w:rPr>
          <w:rFonts w:ascii="Times New Roman" w:hAnsi="Times New Roman"/>
          <w:sz w:val="28"/>
          <w:szCs w:val="28"/>
        </w:rPr>
        <w:t>(</w:t>
      </w:r>
      <w:r w:rsidRPr="00CA3ABF">
        <w:rPr>
          <w:rFonts w:ascii="Times New Roman" w:hAnsi="Times New Roman"/>
          <w:sz w:val="28"/>
          <w:szCs w:val="28"/>
        </w:rPr>
        <w:t xml:space="preserve">ОАО </w:t>
      </w:r>
      <w:proofErr w:type="spellStart"/>
      <w:r w:rsidRPr="00CA3ABF">
        <w:rPr>
          <w:rFonts w:ascii="Times New Roman" w:hAnsi="Times New Roman"/>
          <w:sz w:val="28"/>
          <w:szCs w:val="28"/>
        </w:rPr>
        <w:t>Тимашевское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ДРСУ на 11 %., ЗАО " </w:t>
      </w:r>
      <w:proofErr w:type="spellStart"/>
      <w:r w:rsidRPr="00CA3ABF">
        <w:rPr>
          <w:rFonts w:ascii="Times New Roman" w:hAnsi="Times New Roman"/>
          <w:sz w:val="28"/>
          <w:szCs w:val="28"/>
        </w:rPr>
        <w:t>Пэкэджинг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Кубань" на 10%; ЗАО "Тетра Пак Кубань" на 4%</w:t>
      </w:r>
      <w:r>
        <w:rPr>
          <w:rFonts w:ascii="Times New Roman" w:hAnsi="Times New Roman"/>
          <w:sz w:val="28"/>
          <w:szCs w:val="28"/>
        </w:rPr>
        <w:t>)</w:t>
      </w:r>
      <w:r w:rsidRPr="00CA3ABF">
        <w:rPr>
          <w:rFonts w:ascii="Times New Roman" w:hAnsi="Times New Roman"/>
          <w:sz w:val="28"/>
          <w:szCs w:val="28"/>
        </w:rPr>
        <w:t>.</w:t>
      </w:r>
    </w:p>
    <w:p w:rsidR="00CA3ABF" w:rsidRPr="00CA3ABF" w:rsidRDefault="00CA3ABF" w:rsidP="00CA3ABF">
      <w:pPr>
        <w:spacing w:line="259" w:lineRule="auto"/>
      </w:pPr>
    </w:p>
    <w:p w:rsidR="00CA3ABF" w:rsidRDefault="00CA3ABF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CA3ABF" w:rsidRDefault="00CA3ABF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5E1203" w:rsidRPr="00CA3ABF" w:rsidRDefault="005E1203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ABF">
        <w:rPr>
          <w:rFonts w:ascii="Times New Roman" w:hAnsi="Times New Roman"/>
          <w:sz w:val="28"/>
          <w:szCs w:val="28"/>
        </w:rPr>
        <w:t xml:space="preserve">Рост кредиторской задолженности </w:t>
      </w:r>
      <w:r w:rsidR="00CA3ABF">
        <w:rPr>
          <w:rFonts w:ascii="Times New Roman" w:hAnsi="Times New Roman"/>
          <w:sz w:val="28"/>
          <w:szCs w:val="28"/>
        </w:rPr>
        <w:t xml:space="preserve">в 2016 году по сравнению с 2015 годом наблюдается </w:t>
      </w:r>
      <w:r w:rsidRPr="00CA3ABF">
        <w:rPr>
          <w:rFonts w:ascii="Times New Roman" w:hAnsi="Times New Roman"/>
          <w:sz w:val="28"/>
          <w:szCs w:val="28"/>
        </w:rPr>
        <w:t xml:space="preserve">у </w:t>
      </w:r>
      <w:r w:rsidR="00CA3ABF">
        <w:rPr>
          <w:rFonts w:ascii="Times New Roman" w:hAnsi="Times New Roman"/>
          <w:sz w:val="28"/>
          <w:szCs w:val="28"/>
        </w:rPr>
        <w:t>5</w:t>
      </w:r>
      <w:r w:rsidRPr="00CA3ABF">
        <w:rPr>
          <w:rFonts w:ascii="Times New Roman" w:hAnsi="Times New Roman"/>
          <w:sz w:val="28"/>
          <w:szCs w:val="28"/>
        </w:rPr>
        <w:t xml:space="preserve"> предприятий: ОАО «КК «Кубань» на 42%, ЗАО «Констанция Кубань» на 1,7%, ЗАО «Тетра Пак Кубань» в 2,4 р</w:t>
      </w:r>
      <w:r w:rsidR="00CA3ABF">
        <w:rPr>
          <w:rFonts w:ascii="Times New Roman" w:hAnsi="Times New Roman"/>
          <w:sz w:val="28"/>
          <w:szCs w:val="28"/>
        </w:rPr>
        <w:t>аза</w:t>
      </w:r>
      <w:r w:rsidRPr="00CA3ABF">
        <w:rPr>
          <w:rFonts w:ascii="Times New Roman" w:hAnsi="Times New Roman"/>
          <w:sz w:val="28"/>
          <w:szCs w:val="28"/>
        </w:rPr>
        <w:t>, ЗАО САФ «Русь» на 36,6%., ООО ХК АФ «Россия» в 21 р</w:t>
      </w:r>
      <w:r w:rsidR="00CA3ABF">
        <w:rPr>
          <w:rFonts w:ascii="Times New Roman" w:hAnsi="Times New Roman"/>
          <w:sz w:val="28"/>
          <w:szCs w:val="28"/>
        </w:rPr>
        <w:t>аз</w:t>
      </w:r>
      <w:r w:rsidRPr="00CA3ABF">
        <w:rPr>
          <w:rFonts w:ascii="Times New Roman" w:hAnsi="Times New Roman"/>
          <w:sz w:val="28"/>
          <w:szCs w:val="28"/>
        </w:rPr>
        <w:t>.</w:t>
      </w:r>
    </w:p>
    <w:p w:rsidR="005E1203" w:rsidRPr="00CA3ABF" w:rsidRDefault="005E1203" w:rsidP="005E12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ABF">
        <w:rPr>
          <w:rFonts w:ascii="Times New Roman" w:hAnsi="Times New Roman"/>
          <w:sz w:val="28"/>
          <w:szCs w:val="28"/>
        </w:rPr>
        <w:lastRenderedPageBreak/>
        <w:t xml:space="preserve">Снижение кредиторской задолженности </w:t>
      </w:r>
      <w:r w:rsidR="00CA3ABF">
        <w:rPr>
          <w:rFonts w:ascii="Times New Roman" w:hAnsi="Times New Roman"/>
          <w:sz w:val="28"/>
          <w:szCs w:val="28"/>
        </w:rPr>
        <w:t xml:space="preserve">в 2016 году по сравнению с 2015 годом </w:t>
      </w:r>
      <w:r w:rsidRPr="00CA3ABF">
        <w:rPr>
          <w:rFonts w:ascii="Times New Roman" w:hAnsi="Times New Roman"/>
          <w:sz w:val="28"/>
          <w:szCs w:val="28"/>
        </w:rPr>
        <w:t xml:space="preserve">наблюдается у 4 предприятий: </w:t>
      </w:r>
      <w:r w:rsidRPr="00CA3ABF">
        <w:rPr>
          <w:rFonts w:ascii="Times New Roman" w:hAnsi="Times New Roman"/>
        </w:rPr>
        <w:t xml:space="preserve"> </w:t>
      </w:r>
      <w:r w:rsidRPr="00CA3ABF">
        <w:rPr>
          <w:rFonts w:ascii="Times New Roman" w:hAnsi="Times New Roman"/>
          <w:sz w:val="28"/>
          <w:szCs w:val="28"/>
        </w:rPr>
        <w:t xml:space="preserve">ОАО "ВБД" на 74,4%, НАО Тимашевское ДРСУ на 70,8%, ОАО "Хлеб Кубани"34,4%, ЗАО " </w:t>
      </w:r>
      <w:proofErr w:type="spellStart"/>
      <w:r w:rsidRPr="00CA3ABF">
        <w:rPr>
          <w:rFonts w:ascii="Times New Roman" w:hAnsi="Times New Roman"/>
          <w:sz w:val="28"/>
          <w:szCs w:val="28"/>
        </w:rPr>
        <w:t>Пэкэджинг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BF">
        <w:rPr>
          <w:rFonts w:ascii="Times New Roman" w:hAnsi="Times New Roman"/>
          <w:sz w:val="28"/>
          <w:szCs w:val="28"/>
        </w:rPr>
        <w:t>Кубань</w:t>
      </w:r>
      <w:proofErr w:type="gramStart"/>
      <w:r w:rsidRPr="00CA3ABF">
        <w:rPr>
          <w:rFonts w:ascii="Times New Roman" w:hAnsi="Times New Roman"/>
          <w:sz w:val="28"/>
          <w:szCs w:val="28"/>
        </w:rPr>
        <w:t>"н</w:t>
      </w:r>
      <w:proofErr w:type="gramEnd"/>
      <w:r w:rsidRPr="00CA3ABF">
        <w:rPr>
          <w:rFonts w:ascii="Times New Roman" w:hAnsi="Times New Roman"/>
          <w:sz w:val="28"/>
          <w:szCs w:val="28"/>
        </w:rPr>
        <w:t>а</w:t>
      </w:r>
      <w:proofErr w:type="spellEnd"/>
      <w:r w:rsidRPr="00CA3ABF">
        <w:rPr>
          <w:rFonts w:ascii="Times New Roman" w:hAnsi="Times New Roman"/>
          <w:sz w:val="28"/>
          <w:szCs w:val="28"/>
        </w:rPr>
        <w:t xml:space="preserve"> 73,7%.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Численность постоянного населения муниципального образования Тим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шевский район на конец 2015 года составила 111,186 тыс. человек, из которых 52,581 тыс. человек проживает в городе, 58,605 тыс. человек – в сельской мес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r w:rsidR="00971F46" w:rsidRPr="00C24CFA">
        <w:rPr>
          <w:rFonts w:ascii="Times New Roman" w:eastAsia="Times New Roman" w:hAnsi="Times New Roman"/>
          <w:sz w:val="28"/>
          <w:szCs w:val="28"/>
          <w:lang w:eastAsia="ru-RU"/>
        </w:rPr>
        <w:t>; к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уровню 2014 года прирост составляет 0,8%. По оценке на конец 2016 года численность постоянного населения составит 111,899 тыс. человек, из к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торых 52,576 тыс. человек будет проживать  в городе, 59,323 тыс. человек – в сельской местности. Ожидается, что прирост к уровню 2015 составит  0,6%. Увеличение численности населения в основном происходит за счет миграцио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ного прироста, увеличения продолжительности жизни.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населения, занятого в экономике района, в 2015 году сн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зилась на 0,8% и составила 49,658 тыс. человек, что в свою очередь составляет 44,9% общей численности жителей. 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уменьшением численности населения в трудоспособном во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расте, увеличением доли незанятого населения, проводимых мероприятий по оптимизации численности работающих в организациях всех форм собственн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сти, сокращением рабочих мест ожидается, что в 2016 году произойдет умен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 количества занятых в экономике на 0,8%. 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Необходимо отметить, что ситуация на рынке труда в Тимашевском районе на протяжении последних трех лет остается</w:t>
      </w:r>
      <w:r w:rsidR="00971F46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стабильной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состоянию на 1января 2017 года уровень регистрируемой безработицы составил 0,4%. 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tbl>
      <w:tblPr>
        <w:tblW w:w="93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60"/>
        <w:gridCol w:w="1276"/>
        <w:gridCol w:w="1134"/>
        <w:gridCol w:w="1558"/>
        <w:gridCol w:w="1134"/>
        <w:gridCol w:w="1559"/>
      </w:tblGrid>
      <w:tr w:rsidR="004F039B" w:rsidRPr="00C24CFA" w:rsidTr="00EA4119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роста, 2015/2014,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39B" w:rsidRPr="00C24CFA" w:rsidRDefault="004F039B" w:rsidP="004F0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роста, 2016/2015, %</w:t>
            </w:r>
          </w:p>
        </w:tc>
      </w:tr>
      <w:tr w:rsidR="004F039B" w:rsidRPr="00C24CFA" w:rsidTr="00EA41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 на к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нец года,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110262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111186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111899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4F039B" w:rsidRPr="00C24CFA" w:rsidTr="00EA41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Среднегодовая численность з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нятых в эконом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ке,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50076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49658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99,16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49277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F039B" w:rsidRPr="00C24CFA" w:rsidTr="00EA41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Численность бе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з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работных гра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ж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дан, зарегистр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рованных в гос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у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дарственных учреждениях службы занят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</w:tr>
      <w:tr w:rsidR="004F039B" w:rsidRPr="00C24CFA" w:rsidTr="00EA41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Уровень рег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стрируемой бе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з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работицы (на к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нец периода),%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39" w:rsidRPr="00C24CFA" w:rsidRDefault="004F039B" w:rsidP="007E5E39">
      <w:pPr>
        <w:tabs>
          <w:tab w:val="left" w:pos="993"/>
          <w:tab w:val="left" w:pos="269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Численность зарегистрированных безработных граждан в среднегод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исчислении в 2015 году составила 376 человек, по отношению к 2014 году, численность безработных увеличилась на 8,6%. В 2016 году происходит уменьшение численности безработных на 39,1%, их количество составляет 229 человек. </w:t>
      </w:r>
    </w:p>
    <w:p w:rsidR="00E16851" w:rsidRPr="00C24CFA" w:rsidRDefault="007E5E39" w:rsidP="007E5E39">
      <w:pPr>
        <w:tabs>
          <w:tab w:val="left" w:pos="993"/>
          <w:tab w:val="left" w:pos="269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6851" w:rsidRPr="00C24CFA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на крупных и средних предприятиях района по данным </w:t>
      </w:r>
      <w:proofErr w:type="spellStart"/>
      <w:r w:rsidR="00E16851" w:rsidRPr="00C24CFA">
        <w:rPr>
          <w:rFonts w:ascii="Times New Roman" w:hAnsi="Times New Roman"/>
          <w:sz w:val="28"/>
          <w:szCs w:val="28"/>
        </w:rPr>
        <w:t>Краснодарстата</w:t>
      </w:r>
      <w:proofErr w:type="spellEnd"/>
      <w:r w:rsidR="00E16851" w:rsidRPr="00C24CFA">
        <w:rPr>
          <w:rFonts w:ascii="Times New Roman" w:hAnsi="Times New Roman"/>
          <w:sz w:val="28"/>
          <w:szCs w:val="28"/>
        </w:rPr>
        <w:t xml:space="preserve"> за 11 месяцев 2016 год сост</w:t>
      </w:r>
      <w:r w:rsidR="00E16851" w:rsidRPr="00C24CFA">
        <w:rPr>
          <w:rFonts w:ascii="Times New Roman" w:hAnsi="Times New Roman"/>
          <w:sz w:val="28"/>
          <w:szCs w:val="28"/>
        </w:rPr>
        <w:t>а</w:t>
      </w:r>
      <w:r w:rsidR="00E16851" w:rsidRPr="00C24CFA">
        <w:rPr>
          <w:rFonts w:ascii="Times New Roman" w:hAnsi="Times New Roman"/>
          <w:sz w:val="28"/>
          <w:szCs w:val="28"/>
        </w:rPr>
        <w:t>вила 30287 руб.</w:t>
      </w:r>
      <w:r w:rsidR="00E16851" w:rsidRPr="00C24CFA">
        <w:rPr>
          <w:rFonts w:ascii="Times New Roman" w:hAnsi="Times New Roman"/>
          <w:i/>
          <w:sz w:val="28"/>
          <w:szCs w:val="28"/>
        </w:rPr>
        <w:t>,</w:t>
      </w:r>
      <w:r w:rsidR="00E16851" w:rsidRPr="00C24CFA">
        <w:rPr>
          <w:rFonts w:ascii="Times New Roman" w:hAnsi="Times New Roman"/>
          <w:sz w:val="28"/>
          <w:szCs w:val="28"/>
        </w:rPr>
        <w:t xml:space="preserve"> что выше прошлого года на 7,6%, исполнение индикативного плана составило 110,6%. </w:t>
      </w:r>
    </w:p>
    <w:p w:rsidR="00E16851" w:rsidRPr="00C24CFA" w:rsidRDefault="00E16851" w:rsidP="00AE513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20D5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Динамичное развитие экономики обеспечило ежегодный рост средней заработной платы.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За последние три года наблюдается положительная динам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ка роста среднемесячной заработной платы</w:t>
      </w:r>
      <w:r w:rsidR="004F039B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крупных и средних предприятий Тимашевского района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2014 год – 26710,8 рублей;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2015 год – 28630 рублей;</w:t>
      </w:r>
    </w:p>
    <w:p w:rsidR="004F039B" w:rsidRPr="00C24CFA" w:rsidRDefault="004F039B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11 месяцев 2016 года – 30287 рублей.</w:t>
      </w:r>
    </w:p>
    <w:p w:rsidR="004F039B" w:rsidRPr="00C24CFA" w:rsidRDefault="004820D5" w:rsidP="004F03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Темп роста средней заработной платы по району стабильно остается выше уровня </w:t>
      </w:r>
      <w:proofErr w:type="spellStart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среднекраевого</w:t>
      </w:r>
      <w:proofErr w:type="spellEnd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показателя.</w:t>
      </w:r>
    </w:p>
    <w:p w:rsidR="006E1B71" w:rsidRPr="00C24CFA" w:rsidRDefault="006E1B71" w:rsidP="004C0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9B" w:rsidRPr="00C24CFA" w:rsidRDefault="004F039B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Среднемесячная заработная плата работников крупных и средних</w:t>
      </w:r>
    </w:p>
    <w:p w:rsidR="004F039B" w:rsidRPr="00C24CFA" w:rsidRDefault="004F039B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предприятий муниципального образования Тимашевский район по сост</w:t>
      </w: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янию на 01.12.2016 (в разрезе основных видов деятельности).</w:t>
      </w:r>
    </w:p>
    <w:p w:rsidR="004F039B" w:rsidRPr="00C24CFA" w:rsidRDefault="004F039B" w:rsidP="004F039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6"/>
        <w:gridCol w:w="1558"/>
        <w:gridCol w:w="1558"/>
        <w:gridCol w:w="1417"/>
      </w:tblGrid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экономической</w:t>
            </w: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зарплата  на 01.12.2016,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зарплата на 01.12.2015,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роста зарплаты 2016 к                 2015 г.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4F039B" w:rsidRPr="00C24CFA" w:rsidTr="00EA4119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хозяйство, охота и предоставл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услуг в этих областях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пищевых продуктов, вкл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чая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Издательская и полиграфическая деятел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тиражирование записанных носит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целлюлозы, древесной ма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сы, бумаги, картона и изделий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Металлургическое производство и прои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готовых металлических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Производство, передача и распределение электроэнергии, газа, пара и горячей воды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очистка и распределение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4F039B" w:rsidRPr="00C24CFA" w:rsidTr="00EA4119">
        <w:trPr>
          <w:trHeight w:val="1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Оптовая торговля, включая торговлю через агентов, кроме торговли автотранспор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средствами и мотоциклами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39B" w:rsidRPr="00C24CFA" w:rsidTr="00EA4119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Розничная торговля, кроме торговли авт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гостиниц и ресторанов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сухопутного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Вспомогательная и дополнительная тран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посредничество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4F039B" w:rsidRPr="00C24CFA" w:rsidTr="00EA4119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 и обеспеч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военной безопасности, социальное 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 т.ч: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и начальное общее образов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в области здравоохранения и предоставления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сточных вод, отходов и аналогичная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4F039B" w:rsidRPr="00C24CFA" w:rsidTr="00EA4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9B" w:rsidRPr="00C24CFA" w:rsidRDefault="004F039B" w:rsidP="004F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AE6129" w:rsidRPr="00C24CFA" w:rsidRDefault="00AE6129" w:rsidP="00AE6129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24BC" w:rsidRPr="00C24CFA" w:rsidRDefault="00AE6129" w:rsidP="00AE6129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От темпов развития экономики Тимашевского района напрямую зависит формирование бюджета района.</w:t>
      </w:r>
    </w:p>
    <w:p w:rsidR="00A224BC" w:rsidRPr="00C24CFA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За 2016 год в консолидированный бюджет края по Тимашевскому району поступило 3,2 млрд. рублей налоговых и неналоговых доходов. Темп роста 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ставил 103,8 процентов.</w:t>
      </w:r>
    </w:p>
    <w:p w:rsidR="00A224BC" w:rsidRPr="00C24CFA" w:rsidRDefault="00AE6129" w:rsidP="00A22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2016</w:t>
      </w:r>
      <w:r w:rsidR="00A224BC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общий объём доходов бюджета муниципального образования 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имашевский район составил 1799,2 млн</w:t>
      </w:r>
      <w:r w:rsidR="00A224BC" w:rsidRPr="00C24CFA">
        <w:rPr>
          <w:rFonts w:ascii="Times New Roman" w:eastAsia="Times New Roman" w:hAnsi="Times New Roman"/>
          <w:sz w:val="28"/>
          <w:szCs w:val="28"/>
          <w:lang w:eastAsia="ru-RU"/>
        </w:rPr>
        <w:t>.рублей или 102,4% к уточнённому плану. Доля налоговых и неналоговых доходов составила 39,4% (из них нал</w:t>
      </w:r>
      <w:r w:rsidR="00A224BC"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24BC" w:rsidRPr="00C24CFA">
        <w:rPr>
          <w:rFonts w:ascii="Times New Roman" w:eastAsia="Times New Roman" w:hAnsi="Times New Roman"/>
          <w:sz w:val="28"/>
          <w:szCs w:val="28"/>
          <w:lang w:eastAsia="ru-RU"/>
        </w:rPr>
        <w:t>говых – 29,5%, неналоговых – 9,9%), доля безвозмездных поступлений – 60,6%.</w:t>
      </w:r>
    </w:p>
    <w:p w:rsidR="007E5E39" w:rsidRPr="00C24CFA" w:rsidRDefault="00A224BC" w:rsidP="007E5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бюджет муниципального образования Тимашевский район по налоговым и неналоговым дохода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м был утвержден в сумме 610,9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 Фактически  поступило – 708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,4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рублей, или 116,0 % к годовому плану. В разрезе доходных источников обеспечено исполнение всех бюдже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ных назначений. Прирост поступлений к уровню 2015 года составил 146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или 26,0 %.</w:t>
      </w:r>
    </w:p>
    <w:p w:rsidR="007E5E39" w:rsidRPr="00C24CFA" w:rsidRDefault="00A224BC" w:rsidP="007E5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</w:rPr>
        <w:t>Безвозмездные поступления в бюджет муниципального района от других уровней бюдже</w:t>
      </w:r>
      <w:r w:rsidR="00AE6129" w:rsidRPr="00C24CFA">
        <w:rPr>
          <w:rFonts w:ascii="Times New Roman" w:eastAsia="Times New Roman" w:hAnsi="Times New Roman"/>
          <w:sz w:val="28"/>
          <w:szCs w:val="28"/>
        </w:rPr>
        <w:t xml:space="preserve">тов РФ за  2016  год составили </w:t>
      </w:r>
      <w:r w:rsidRPr="00C24CFA">
        <w:rPr>
          <w:rFonts w:ascii="Times New Roman" w:eastAsia="Times New Roman" w:hAnsi="Times New Roman"/>
          <w:sz w:val="28"/>
          <w:szCs w:val="28"/>
        </w:rPr>
        <w:t>1092</w:t>
      </w:r>
      <w:r w:rsidR="00AE6129" w:rsidRPr="00C24CFA">
        <w:rPr>
          <w:rFonts w:ascii="Times New Roman" w:eastAsia="Times New Roman" w:hAnsi="Times New Roman"/>
          <w:sz w:val="28"/>
          <w:szCs w:val="28"/>
        </w:rPr>
        <w:t>,</w:t>
      </w:r>
      <w:r w:rsidRPr="00C24CFA">
        <w:rPr>
          <w:rFonts w:ascii="Times New Roman" w:eastAsia="Times New Roman" w:hAnsi="Times New Roman"/>
          <w:sz w:val="28"/>
          <w:szCs w:val="28"/>
        </w:rPr>
        <w:t>5</w:t>
      </w:r>
      <w:r w:rsidR="00AE6129" w:rsidRPr="00C24CFA">
        <w:rPr>
          <w:rFonts w:ascii="Times New Roman" w:eastAsia="Times New Roman" w:hAnsi="Times New Roman"/>
          <w:sz w:val="28"/>
          <w:szCs w:val="28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 или 99,5 % к уточненному годовому плану и на 50</w:t>
      </w:r>
      <w:r w:rsidR="00AE6129" w:rsidRPr="00C24CFA">
        <w:rPr>
          <w:rFonts w:ascii="Times New Roman" w:eastAsia="Times New Roman" w:hAnsi="Times New Roman"/>
          <w:sz w:val="28"/>
          <w:szCs w:val="28"/>
        </w:rPr>
        <w:t>,</w:t>
      </w:r>
      <w:r w:rsidRPr="00C24CFA">
        <w:rPr>
          <w:rFonts w:ascii="Times New Roman" w:eastAsia="Times New Roman" w:hAnsi="Times New Roman"/>
          <w:sz w:val="28"/>
          <w:szCs w:val="28"/>
        </w:rPr>
        <w:t>7</w:t>
      </w:r>
      <w:r w:rsidR="00AE6129" w:rsidRPr="00C24CFA">
        <w:rPr>
          <w:rFonts w:ascii="Times New Roman" w:eastAsia="Times New Roman" w:hAnsi="Times New Roman"/>
          <w:sz w:val="28"/>
          <w:szCs w:val="28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больше поступлений пр</w:t>
      </w:r>
      <w:r w:rsidRPr="00C24CFA">
        <w:rPr>
          <w:rFonts w:ascii="Times New Roman" w:eastAsia="Times New Roman" w:hAnsi="Times New Roman"/>
          <w:sz w:val="28"/>
          <w:szCs w:val="28"/>
        </w:rPr>
        <w:t>о</w:t>
      </w:r>
      <w:r w:rsidRPr="00C24CFA">
        <w:rPr>
          <w:rFonts w:ascii="Times New Roman" w:eastAsia="Times New Roman" w:hAnsi="Times New Roman"/>
          <w:sz w:val="28"/>
          <w:szCs w:val="28"/>
        </w:rPr>
        <w:t xml:space="preserve">шлого года. </w:t>
      </w:r>
    </w:p>
    <w:p w:rsidR="00A224BC" w:rsidRPr="00C24CFA" w:rsidRDefault="00A224BC" w:rsidP="007E5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Расходы районного бюджета за отчетн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ый период исполнены в сумме   1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731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,3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или 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98,8% к плановым показателям (1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752</w:t>
      </w:r>
      <w:r w:rsidR="00AE6129" w:rsidRPr="00C24CFA">
        <w:rPr>
          <w:rFonts w:ascii="Times New Roman" w:eastAsia="Times New Roman" w:hAnsi="Times New Roman"/>
          <w:sz w:val="28"/>
          <w:szCs w:val="28"/>
          <w:lang w:eastAsia="ru-RU"/>
        </w:rPr>
        <w:t>,9 млн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руб.).  Ра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ходы 2016 года увеличились по сравнению с прошлым годом на 6,4% (103,9 млн.рублей). При плановом д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ефици</w:t>
      </w:r>
      <w:r w:rsidR="00E33351" w:rsidRPr="00C24CFA">
        <w:rPr>
          <w:rFonts w:ascii="Times New Roman" w:eastAsia="Times New Roman" w:hAnsi="Times New Roman"/>
          <w:sz w:val="28"/>
          <w:szCs w:val="24"/>
          <w:lang w:eastAsia="ru-RU"/>
        </w:rPr>
        <w:t>те районного бюджета в сумме 45,7 млн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33351" w:rsidRPr="00C24CF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рублей фактический профицит составил 67</w:t>
      </w:r>
      <w:r w:rsidR="00E33351" w:rsidRPr="00C24CFA">
        <w:rPr>
          <w:rFonts w:ascii="Times New Roman" w:eastAsia="Times New Roman" w:hAnsi="Times New Roman"/>
          <w:sz w:val="28"/>
          <w:szCs w:val="24"/>
          <w:lang w:eastAsia="ru-RU"/>
        </w:rPr>
        <w:t>,8 млн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33351" w:rsidRPr="00C24CF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рублей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3351" w:rsidRPr="00C24CFA" w:rsidRDefault="00E33351" w:rsidP="004C00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00CF" w:rsidRPr="00C24CFA" w:rsidRDefault="00A224BC" w:rsidP="004C00CF">
      <w:pPr>
        <w:spacing w:after="0" w:line="240" w:lineRule="auto"/>
        <w:ind w:right="-1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поступлений налоговых и неналоговых доходов в бюджет муниципального образования Тимашевский район в 2016 году, в %</w:t>
      </w:r>
    </w:p>
    <w:p w:rsidR="004C00CF" w:rsidRPr="00C24CFA" w:rsidRDefault="004C00CF" w:rsidP="004C00CF">
      <w:pPr>
        <w:spacing w:after="0" w:line="240" w:lineRule="auto"/>
        <w:ind w:right="-1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24BC" w:rsidRPr="00C24CFA" w:rsidRDefault="00A224BC" w:rsidP="004C00C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21E817B" wp14:editId="475A3E06">
            <wp:extent cx="6172200" cy="2552700"/>
            <wp:effectExtent l="0" t="0" r="19050" b="1905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24BC" w:rsidRPr="00C24CFA" w:rsidRDefault="00A224BC" w:rsidP="00A224B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расходов районного бюджета в 2016 году </w:t>
      </w:r>
    </w:p>
    <w:p w:rsidR="00A224BC" w:rsidRPr="00C24CFA" w:rsidRDefault="00A224BC" w:rsidP="00A224B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0A4D0F" wp14:editId="623B3354">
            <wp:extent cx="6115050" cy="32385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3351" w:rsidRPr="00C24CFA" w:rsidRDefault="00E33351" w:rsidP="00A224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социально-культурной сфере в 2016 году ориент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рована на сохранение приоритетности в финансовом обеспечении обширного спектра задач в области образования, здравоохранения, социальной политики, культуры, физической культуры и спорта. С учетом межбюджетных трансфе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тов указанные расходы в общей структуре расходов ра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йонного бюджета сост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вили 85%.</w:t>
      </w:r>
    </w:p>
    <w:p w:rsidR="00A224BC" w:rsidRPr="00C24CFA" w:rsidRDefault="00A224BC" w:rsidP="00A224B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Главными задачами стало сохранение бюджетной стабильности, обесп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чение своевременного исполнения расходных обязательств и реализация мер, направленных на поддержку социальной сферы и экономики, а именно: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приоритетное обеспечение населения бюджетными услугами отраслей социальной сферы; </w:t>
      </w:r>
    </w:p>
    <w:p w:rsidR="00A224BC" w:rsidRPr="00C24CFA" w:rsidRDefault="00A224BC" w:rsidP="00A224B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ab/>
        <w:t>- сохранение бюджетной поддержки развития реального сектора экон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мики; создание  условий для реализации инвестиционных проектов; 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обеспечение устойчивости, сбалансированности районного бюджета;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обеспечение организационных мер, направленных на рост эффективн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сти бюджетных расходов, оптимизацию расходов, повышение качества пред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муниципальных услуг. </w:t>
      </w:r>
    </w:p>
    <w:p w:rsidR="00511FBF" w:rsidRPr="00E6250D" w:rsidRDefault="00511FBF" w:rsidP="00A224BC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A224BC" w:rsidRPr="00C24CFA" w:rsidRDefault="00C24CFA" w:rsidP="00A224BC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</w:t>
      </w:r>
      <w:r w:rsidR="00A224BC"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бюджетных ассигнований по видам расходов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9AA74" wp14:editId="67DCEB8C">
                <wp:simplePos x="0" y="0"/>
                <wp:positionH relativeFrom="column">
                  <wp:posOffset>2901315</wp:posOffset>
                </wp:positionH>
                <wp:positionV relativeFrom="paragraph">
                  <wp:posOffset>182245</wp:posOffset>
                </wp:positionV>
                <wp:extent cx="504825" cy="238125"/>
                <wp:effectExtent l="0" t="1270" r="381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0D" w:rsidRPr="00A72C64" w:rsidRDefault="002E000D" w:rsidP="00A224BC">
                            <w:pPr>
                              <w:rPr>
                                <w:b/>
                              </w:rPr>
                            </w:pPr>
                            <w:r w:rsidRPr="00A72C64">
                              <w:rPr>
                                <w:b/>
                              </w:rPr>
                              <w:t>2 %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228.45pt;margin-top:14.35pt;width:39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" filled="f" stroked="f">
                <v:textbox>
                  <w:txbxContent>
                    <w:p w:rsidR="002E000D" w:rsidRPr="00A72C64" w:rsidRDefault="002E000D" w:rsidP="00A224BC">
                      <w:pPr>
                        <w:rPr>
                          <w:b/>
                        </w:rPr>
                      </w:pPr>
                      <w:r w:rsidRPr="00A72C64">
                        <w:rPr>
                          <w:b/>
                        </w:rPr>
                        <w:t>2 %</w:t>
                      </w:r>
                    </w:p>
                  </w:txbxContent>
                </v:textbox>
              </v:shape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537AC" wp14:editId="777584D8">
                <wp:simplePos x="0" y="0"/>
                <wp:positionH relativeFrom="column">
                  <wp:posOffset>2396490</wp:posOffset>
                </wp:positionH>
                <wp:positionV relativeFrom="paragraph">
                  <wp:posOffset>58420</wp:posOffset>
                </wp:positionV>
                <wp:extent cx="504825" cy="285750"/>
                <wp:effectExtent l="0" t="1270" r="381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0D" w:rsidRPr="00A72C64" w:rsidRDefault="002E000D" w:rsidP="00A224BC">
                            <w:pPr>
                              <w:rPr>
                                <w:b/>
                              </w:rPr>
                            </w:pPr>
                            <w:r w:rsidRPr="00A72C64">
                              <w:rPr>
                                <w:b/>
                              </w:rPr>
                              <w:t xml:space="preserve">4 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88.7pt;margin-top:4.6pt;width:3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" filled="f" stroked="f">
                <v:textbox>
                  <w:txbxContent>
                    <w:p w:rsidR="002E000D" w:rsidRPr="00A72C64" w:rsidRDefault="002E000D" w:rsidP="00A224BC">
                      <w:pPr>
                        <w:rPr>
                          <w:b/>
                        </w:rPr>
                      </w:pPr>
                      <w:r w:rsidRPr="00A72C64">
                        <w:rPr>
                          <w:b/>
                        </w:rPr>
                        <w:t xml:space="preserve">4 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6379F" wp14:editId="3C40B0D8">
                <wp:simplePos x="0" y="0"/>
                <wp:positionH relativeFrom="column">
                  <wp:posOffset>2015490</wp:posOffset>
                </wp:positionH>
                <wp:positionV relativeFrom="paragraph">
                  <wp:posOffset>248920</wp:posOffset>
                </wp:positionV>
                <wp:extent cx="619125" cy="314325"/>
                <wp:effectExtent l="0" t="1270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0D" w:rsidRPr="00E4585E" w:rsidRDefault="002E000D" w:rsidP="00A224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E4585E">
                              <w:rPr>
                                <w:b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58.7pt;margin-top:19.6pt;width:48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" filled="f" stroked="f">
                <v:textbox>
                  <w:txbxContent>
                    <w:p w:rsidR="002E000D" w:rsidRPr="00E4585E" w:rsidRDefault="002E000D" w:rsidP="00A224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E4585E">
                        <w:rPr>
                          <w:b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D1F78" wp14:editId="103CFFA2">
                <wp:simplePos x="0" y="0"/>
                <wp:positionH relativeFrom="column">
                  <wp:posOffset>1548765</wp:posOffset>
                </wp:positionH>
                <wp:positionV relativeFrom="paragraph">
                  <wp:posOffset>610870</wp:posOffset>
                </wp:positionV>
                <wp:extent cx="619125" cy="314325"/>
                <wp:effectExtent l="0" t="1270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0D" w:rsidRPr="00E4585E" w:rsidRDefault="002E000D" w:rsidP="00A224BC">
                            <w:pPr>
                              <w:rPr>
                                <w:b/>
                              </w:rPr>
                            </w:pPr>
                            <w:r w:rsidRPr="00E4585E">
                              <w:rPr>
                                <w:b/>
                              </w:rPr>
                              <w:t>14 %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21.95pt;margin-top:48.1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" filled="f" stroked="f">
                <v:textbox>
                  <w:txbxContent>
                    <w:p w:rsidR="002E000D" w:rsidRPr="00E4585E" w:rsidRDefault="002E000D" w:rsidP="00A224BC">
                      <w:pPr>
                        <w:rPr>
                          <w:b/>
                        </w:rPr>
                      </w:pPr>
                      <w:r w:rsidRPr="00E4585E">
                        <w:rPr>
                          <w:b/>
                        </w:rPr>
                        <w:t>14 %</w:t>
                      </w:r>
                    </w:p>
                  </w:txbxContent>
                </v:textbox>
              </v:shape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7B6CE" wp14:editId="019CC539">
                <wp:simplePos x="0" y="0"/>
                <wp:positionH relativeFrom="column">
                  <wp:posOffset>3996690</wp:posOffset>
                </wp:positionH>
                <wp:positionV relativeFrom="paragraph">
                  <wp:posOffset>925195</wp:posOffset>
                </wp:positionV>
                <wp:extent cx="600075" cy="276225"/>
                <wp:effectExtent l="0" t="1270" r="381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0D" w:rsidRPr="00E4585E" w:rsidRDefault="002E000D" w:rsidP="00A224BC">
                            <w:pPr>
                              <w:rPr>
                                <w:b/>
                              </w:rPr>
                            </w:pPr>
                            <w:r w:rsidRPr="00E4585E">
                              <w:rPr>
                                <w:b/>
                              </w:rPr>
                              <w:t>75 %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314.7pt;margin-top:72.85pt;width:4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" filled="f" stroked="f">
                <v:textbox>
                  <w:txbxContent>
                    <w:p w:rsidR="002E000D" w:rsidRPr="00E4585E" w:rsidRDefault="002E000D" w:rsidP="00A224BC">
                      <w:pPr>
                        <w:rPr>
                          <w:b/>
                        </w:rPr>
                      </w:pPr>
                      <w:r w:rsidRPr="00E4585E">
                        <w:rPr>
                          <w:b/>
                        </w:rPr>
                        <w:t>75 %</w:t>
                      </w:r>
                    </w:p>
                  </w:txbxContent>
                </v:textbox>
              </v:shape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46BAA6" wp14:editId="12737330">
            <wp:extent cx="5972175" cy="2409825"/>
            <wp:effectExtent l="0" t="19050" r="9525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</w:t>
      </w:r>
      <w:r w:rsidR="004C00CF"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</w: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16A145" wp14:editId="6935D40B">
                <wp:extent cx="222250" cy="142875"/>
                <wp:effectExtent l="0" t="0" r="6350" b="9525"/>
                <wp:docPr id="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21" cy="14094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7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" fillcolor="#548dd4 [1951]" stroked="f" strokeweight="2pt">
                <w10:anchorlock/>
              </v:rect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Бюджетные инвестиции 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148D20" wp14:editId="1C76EA61">
                <wp:extent cx="222250" cy="142875"/>
                <wp:effectExtent l="0" t="0" r="6350" b="9525"/>
                <wp:docPr id="1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21" cy="14094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7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" fillcolor="#8064a2 [3207]" stroked="f" strokeweight="2pt">
                <w10:anchorlock/>
              </v:rect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Иные расходы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0A5858" wp14:editId="3CEBD7EC">
            <wp:extent cx="257175" cy="13335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08" b="-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Социальные выплаты 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C75C2A" wp14:editId="01279286">
                <wp:extent cx="307975" cy="152400"/>
                <wp:effectExtent l="0" t="0" r="0" b="0"/>
                <wp:docPr id="2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28" cy="1515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" fillcolor="#c2d69b [1942]" stroked="f" strokeweight="2pt">
                <w10:anchorlock/>
              </v:rect>
            </w:pict>
          </mc:Fallback>
        </mc:AlternateConten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C24CFA">
        <w:rPr>
          <w:rFonts w:eastAsia="+mn-ea" w:cs="+mn-cs"/>
          <w:sz w:val="24"/>
          <w:szCs w:val="24"/>
          <w:lang w:eastAsia="ru-RU"/>
        </w:rPr>
        <w:t xml:space="preserve"> </w:t>
      </w:r>
      <w:r w:rsidRPr="00C24CFA">
        <w:rPr>
          <w:rFonts w:ascii="Times New Roman" w:eastAsia="+mn-ea" w:hAnsi="Times New Roman"/>
          <w:sz w:val="24"/>
          <w:szCs w:val="24"/>
          <w:lang w:eastAsia="ru-RU"/>
        </w:rPr>
        <w:t>Выполнение муниципальных функций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A224BC" w:rsidRPr="00C24CFA" w:rsidRDefault="00A224BC" w:rsidP="00A224B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2CDB4B" wp14:editId="61E5CA6D">
                <wp:extent cx="287020" cy="161925"/>
                <wp:effectExtent l="0" t="0" r="0" b="9525"/>
                <wp:docPr id="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82" cy="157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2.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" fillcolor="#fabf8f [1945]" stroked="f" strokeweight="2pt">
                <w10:anchorlock/>
              </v:rect>
            </w:pict>
          </mc:Fallback>
        </mc:AlternateContent>
      </w:r>
      <w:r w:rsidRPr="00C24CFA">
        <w:rPr>
          <w:rFonts w:eastAsia="+mn-ea" w:cs="+mn-cs"/>
          <w:sz w:val="24"/>
          <w:szCs w:val="24"/>
          <w:lang w:eastAsia="ru-RU"/>
        </w:rPr>
        <w:t xml:space="preserve">  </w:t>
      </w: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Субсидии бюджетным и автономным учреждениям </w:t>
      </w:r>
    </w:p>
    <w:p w:rsidR="00B642AD" w:rsidRPr="00C24CFA" w:rsidRDefault="00B642AD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hAnsi="Times New Roman"/>
          <w:sz w:val="28"/>
          <w:szCs w:val="28"/>
        </w:rPr>
        <w:t xml:space="preserve">Детализация направлений финансового обеспечения расходов районного бюджета на 2016 год 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 следующими данными;</w:t>
      </w: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-на предоставление субсидий бюджетным и автономным учреждениям (в том числе, на выполнение муниципального задания) приходится три четверти общих расходов;</w:t>
      </w: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-доля выполнения муниципальных функций составляет 14 процентов ра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ходов;</w:t>
      </w: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-расходы на социальные выплаты составляют 5 процентов расходной ч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сти;</w:t>
      </w: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- на бюджетные инвестиции направлено 2 процента общих расходов;</w:t>
      </w:r>
    </w:p>
    <w:p w:rsidR="00A224BC" w:rsidRPr="00C24CFA" w:rsidRDefault="00A224BC" w:rsidP="00A224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-иные расходы (включая обслуживание муниципального долга) составл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ет 14 процентов.</w:t>
      </w:r>
    </w:p>
    <w:p w:rsidR="00A224BC" w:rsidRPr="00C24CFA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2016 году в полном объеме перечислена субсидия на выполнение м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ниципального задания бюджетным и автономным муниципальным учрежден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ям  в сумме  1173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рублей, что составило 104,6 процента к прошлому г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ду.</w:t>
      </w:r>
    </w:p>
    <w:p w:rsidR="00A224BC" w:rsidRPr="00C24CFA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За 2015 год в консолидированный бюджет края по Тимашевскому району поступило более 3,0 млрд. рублей налоговых и неналоговых доходов. Темп р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ста составил 121,7 процентов.</w:t>
      </w:r>
    </w:p>
    <w:p w:rsidR="00A224BC" w:rsidRPr="00C24CFA" w:rsidRDefault="00A224BC" w:rsidP="00A22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2015 году общий объём доходов бюджета муниципального образовани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>я Тимашевский район составил  1600,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351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или 102,4% к уточнённому плану. Доля налоговых и неналоговых доходов в общем объеме доходов сост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вила 35,1% (из них налоговых – 31,9%, неналоговых – 3,3%), доля безвозмез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ных поступлений – 64,9%.</w:t>
      </w:r>
    </w:p>
    <w:p w:rsidR="00A224BC" w:rsidRPr="00C24CFA" w:rsidRDefault="00A224BC" w:rsidP="00292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4CFA">
        <w:rPr>
          <w:rFonts w:ascii="Times New Roman" w:eastAsia="Times New Roman" w:hAnsi="Times New Roman"/>
          <w:sz w:val="28"/>
          <w:szCs w:val="28"/>
        </w:rPr>
        <w:t>Безвозмездные поступления в бюджет муниципального района от других уровней бюджетов РФ за  2015 год составили 1041</w:t>
      </w:r>
      <w:r w:rsidR="00E33351" w:rsidRPr="00C24CFA">
        <w:rPr>
          <w:rFonts w:ascii="Times New Roman" w:eastAsia="Times New Roman" w:hAnsi="Times New Roman"/>
          <w:sz w:val="28"/>
          <w:szCs w:val="28"/>
        </w:rPr>
        <w:t>,</w:t>
      </w:r>
      <w:r w:rsidRPr="00C24CFA">
        <w:rPr>
          <w:rFonts w:ascii="Times New Roman" w:eastAsia="Times New Roman" w:hAnsi="Times New Roman"/>
          <w:sz w:val="28"/>
          <w:szCs w:val="28"/>
        </w:rPr>
        <w:t>8</w:t>
      </w:r>
      <w:r w:rsidR="00E33351" w:rsidRPr="00C24CFA">
        <w:rPr>
          <w:rFonts w:ascii="Times New Roman" w:eastAsia="Times New Roman" w:hAnsi="Times New Roman"/>
          <w:sz w:val="28"/>
          <w:szCs w:val="28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или 99,7 % к уточненному годовому плану и на 3</w:t>
      </w:r>
      <w:r w:rsidR="00E33351" w:rsidRPr="00C24CFA">
        <w:rPr>
          <w:rFonts w:ascii="Times New Roman" w:eastAsia="Times New Roman" w:hAnsi="Times New Roman"/>
          <w:sz w:val="28"/>
          <w:szCs w:val="28"/>
        </w:rPr>
        <w:t>,</w:t>
      </w:r>
      <w:r w:rsidRPr="00C24CFA">
        <w:rPr>
          <w:rFonts w:ascii="Times New Roman" w:eastAsia="Times New Roman" w:hAnsi="Times New Roman"/>
          <w:sz w:val="28"/>
          <w:szCs w:val="28"/>
        </w:rPr>
        <w:t>1</w:t>
      </w:r>
      <w:r w:rsidR="00E33351" w:rsidRPr="00C24CFA">
        <w:rPr>
          <w:rFonts w:ascii="Times New Roman" w:eastAsia="Times New Roman" w:hAnsi="Times New Roman"/>
          <w:sz w:val="28"/>
          <w:szCs w:val="28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меньше поступлений пр</w:t>
      </w:r>
      <w:r w:rsidRPr="00C24CFA">
        <w:rPr>
          <w:rFonts w:ascii="Times New Roman" w:eastAsia="Times New Roman" w:hAnsi="Times New Roman"/>
          <w:sz w:val="28"/>
          <w:szCs w:val="28"/>
        </w:rPr>
        <w:t>о</w:t>
      </w:r>
      <w:r w:rsidRPr="00C24CFA">
        <w:rPr>
          <w:rFonts w:ascii="Times New Roman" w:eastAsia="Times New Roman" w:hAnsi="Times New Roman"/>
          <w:sz w:val="28"/>
          <w:szCs w:val="28"/>
        </w:rPr>
        <w:t xml:space="preserve">шлого года. </w:t>
      </w:r>
    </w:p>
    <w:p w:rsidR="00A224BC" w:rsidRPr="00C24CFA" w:rsidRDefault="00A224BC" w:rsidP="00F5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Расходы районного бюджета за отчетный период исполнены в сумме   1627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или </w:t>
      </w:r>
      <w:r w:rsidR="00983663" w:rsidRPr="00C24CFA">
        <w:rPr>
          <w:rFonts w:ascii="Times New Roman" w:eastAsia="Times New Roman" w:hAnsi="Times New Roman"/>
          <w:sz w:val="28"/>
          <w:szCs w:val="28"/>
          <w:lang w:eastAsia="ru-RU"/>
        </w:rPr>
        <w:t>99,5% к плановым показателям (1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636</w:t>
      </w:r>
      <w:r w:rsidR="00983663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3663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руб.).  Ра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ходы 2015 года увеличились по сравнению с прошлым годом на 3% (46,7 млн.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рублей). 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 xml:space="preserve">Дефицит районного бюджета составил в сумме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– 27</w:t>
      </w:r>
      <w:r w:rsidR="00983663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3663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:rsidR="00A224BC" w:rsidRPr="00C24CFA" w:rsidRDefault="00A224BC" w:rsidP="00A22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бюджет муниципального образования Тимашевский район по налоговым и неналоговым до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ходам был утвержден в сумме 521,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ей. Фактически  поступило – 562,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рублей, или 107,9 % к годовому плану. В разрезе доходных источников обеспечено исполнение всех бюдже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ных назначений. Прирост поступлений к уровню 2014 года составил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37,</w:t>
      </w:r>
      <w:r w:rsidR="00E6250D" w:rsidRPr="00C24C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="00E6250D" w:rsidRPr="00C24CFA">
        <w:rPr>
          <w:rFonts w:ascii="Times New Roman" w:eastAsia="Times New Roman" w:hAnsi="Times New Roman"/>
          <w:sz w:val="28"/>
          <w:szCs w:val="28"/>
          <w:lang w:eastAsia="ru-RU"/>
        </w:rPr>
        <w:t>.рублей или 7,1 %.</w:t>
      </w:r>
    </w:p>
    <w:p w:rsidR="00A224BC" w:rsidRPr="00C24CFA" w:rsidRDefault="00A224BC" w:rsidP="00A224BC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поступлений налоговых и неналоговых доходов в бюджет муниципального образования Тимашевский район в 2015 году, в %</w:t>
      </w: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E0E330" wp14:editId="63785E3C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6276975" cy="2933700"/>
            <wp:effectExtent l="0" t="0" r="9525" b="19050"/>
            <wp:wrapNone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279" w:rsidRPr="00C24CFA" w:rsidRDefault="00A224BC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24279" w:rsidRPr="00C24CFA" w:rsidRDefault="00024279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279" w:rsidRPr="00C24CFA" w:rsidRDefault="00024279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Основная доля расходов районного бюджета приходится на соц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иально-культурную сферу – 1394,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или 85,7 % от общей суммы расходов Рост к прошлому году составил 2,4%.</w:t>
      </w:r>
    </w:p>
    <w:p w:rsidR="00A224BC" w:rsidRPr="00C24CFA" w:rsidRDefault="00A224BC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Большая часть средств бюджета направлена на образование – 72,6 %;  2,9 % - здравоохранение;  5,8% - социальную политику, 2,6 % - культуру  и  1,8 % - физкультуру и спорт.</w:t>
      </w:r>
    </w:p>
    <w:p w:rsidR="00A224BC" w:rsidRPr="00C24CFA" w:rsidRDefault="00A224BC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2015 году среднемесячная заработная плата педагогических работников детских дошкольных учреждениях района составила – 24,3 тыс.рублей,  учит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лей – 27,5 тыс.рублей, педагогов дополнительного образования – 23,0 тыс.рублей. Среднемесячная заработная плата по учреждениям культуры сост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вила – 17,3 тыс.рублей.</w:t>
      </w:r>
    </w:p>
    <w:p w:rsidR="008634EB" w:rsidRPr="00C24CFA" w:rsidRDefault="00A224BC" w:rsidP="004C0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В 2015 году в полном объеме перечислена субсидия на выполнение м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задания бюджетным и автономным 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муниципальным учрежден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ям 1121,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составило 101,8 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процента к прошлому году (1101,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рублей). Таким образом, на выполнение муниципального задания бюдже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ным учреждениям (6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9) перечислено субсидии – 1029млн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и автономным учреждениям (4) 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92,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 Субсидии на иные цели из бюджета района муниципальным учреждениям перечислено в сумме 96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:rsidR="00A224BC" w:rsidRPr="00C24CFA" w:rsidRDefault="00A224BC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расходов районного бюджета</w:t>
      </w:r>
    </w:p>
    <w:p w:rsidR="00A224BC" w:rsidRPr="00C24CFA" w:rsidRDefault="00A224BC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в 2015 году (%)</w:t>
      </w:r>
    </w:p>
    <w:p w:rsidR="00A224BC" w:rsidRPr="00C24CFA" w:rsidRDefault="004C00CF" w:rsidP="00A224B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BC40DAC" wp14:editId="4B4D4C36">
            <wp:simplePos x="0" y="0"/>
            <wp:positionH relativeFrom="column">
              <wp:posOffset>-137160</wp:posOffset>
            </wp:positionH>
            <wp:positionV relativeFrom="paragraph">
              <wp:posOffset>19050</wp:posOffset>
            </wp:positionV>
            <wp:extent cx="6276975" cy="2914650"/>
            <wp:effectExtent l="0" t="0" r="9525" b="19050"/>
            <wp:wrapNone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4BC" w:rsidRPr="00C24CFA" w:rsidRDefault="00A224BC" w:rsidP="00A224BC">
      <w:pPr>
        <w:tabs>
          <w:tab w:val="left" w:pos="399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24CF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C" w:rsidRPr="00C24CFA" w:rsidRDefault="00A224BC" w:rsidP="00A224BC">
      <w:pPr>
        <w:tabs>
          <w:tab w:val="left" w:pos="1421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224BC" w:rsidRPr="00C24CFA" w:rsidRDefault="00A224BC" w:rsidP="00A22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За 2014 год в консолидированный бюджет края по Тимашевскому району поступило более 2,5 млрд. рублей налоговых и неналоговых доходов. Темп р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ста составил 106,6 процентов.</w:t>
      </w:r>
    </w:p>
    <w:p w:rsidR="00A224BC" w:rsidRPr="00C24CFA" w:rsidRDefault="00A224BC" w:rsidP="00A22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Общий объём доходов бюджета муниципального образования Тимаше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ский ра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йон составил 1564,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или 102,4% к уточнённому плану. Доля налоговых и неналоговых доходов в общем объеме доходов составила 33,6% (из них налоговых – 31,0%, неналоговых – 2,6%), доля безвозмездных посту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лений – 66,4%.</w:t>
      </w:r>
    </w:p>
    <w:p w:rsidR="00C24CFA" w:rsidRDefault="00A224BC" w:rsidP="00C24C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4CFA">
        <w:rPr>
          <w:rFonts w:ascii="Times New Roman" w:eastAsia="Times New Roman" w:hAnsi="Times New Roman"/>
          <w:sz w:val="28"/>
          <w:szCs w:val="28"/>
        </w:rPr>
        <w:t xml:space="preserve">          Безвозмездные поступления в бюджет муниципального района от других уровней бюджетов РФ за  2014 год составили 1</w:t>
      </w:r>
      <w:r w:rsidR="00EA4119" w:rsidRPr="00C24CFA">
        <w:rPr>
          <w:rFonts w:ascii="Times New Roman" w:eastAsia="Times New Roman" w:hAnsi="Times New Roman"/>
          <w:sz w:val="28"/>
          <w:szCs w:val="28"/>
        </w:rPr>
        <w:t>044,</w:t>
      </w:r>
      <w:r w:rsidRPr="00C24CFA">
        <w:rPr>
          <w:rFonts w:ascii="Times New Roman" w:eastAsia="Times New Roman" w:hAnsi="Times New Roman"/>
          <w:sz w:val="28"/>
          <w:szCs w:val="28"/>
        </w:rPr>
        <w:t>9</w:t>
      </w:r>
      <w:r w:rsidR="00EA4119" w:rsidRPr="00C24CFA">
        <w:rPr>
          <w:rFonts w:ascii="Times New Roman" w:eastAsia="Times New Roman" w:hAnsi="Times New Roman"/>
          <w:sz w:val="28"/>
          <w:szCs w:val="28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или 99,9% к уточ</w:t>
      </w:r>
      <w:r w:rsidR="00EA4119" w:rsidRPr="00C24CFA">
        <w:rPr>
          <w:rFonts w:ascii="Times New Roman" w:eastAsia="Times New Roman" w:hAnsi="Times New Roman"/>
          <w:sz w:val="28"/>
          <w:szCs w:val="28"/>
        </w:rPr>
        <w:t>ненному годовому плану и на 183</w:t>
      </w:r>
      <w:r w:rsidRPr="00C24CFA">
        <w:rPr>
          <w:rFonts w:ascii="Times New Roman" w:eastAsia="Times New Roman" w:hAnsi="Times New Roman"/>
          <w:sz w:val="28"/>
          <w:szCs w:val="28"/>
        </w:rPr>
        <w:t xml:space="preserve"> </w:t>
      </w:r>
      <w:r w:rsidR="00EA4119" w:rsidRPr="00C24CFA">
        <w:rPr>
          <w:rFonts w:ascii="Times New Roman" w:eastAsia="Times New Roman" w:hAnsi="Times New Roman"/>
          <w:sz w:val="28"/>
          <w:szCs w:val="28"/>
        </w:rPr>
        <w:t>млн</w:t>
      </w:r>
      <w:r w:rsidRPr="00C24CFA">
        <w:rPr>
          <w:rFonts w:ascii="Times New Roman" w:eastAsia="Times New Roman" w:hAnsi="Times New Roman"/>
          <w:sz w:val="28"/>
          <w:szCs w:val="28"/>
        </w:rPr>
        <w:t>. рублей выше поступлений прошл</w:t>
      </w:r>
      <w:r w:rsidRPr="00C24CFA">
        <w:rPr>
          <w:rFonts w:ascii="Times New Roman" w:eastAsia="Times New Roman" w:hAnsi="Times New Roman"/>
          <w:sz w:val="28"/>
          <w:szCs w:val="28"/>
        </w:rPr>
        <w:t>о</w:t>
      </w:r>
      <w:r w:rsidRPr="00C24CFA">
        <w:rPr>
          <w:rFonts w:ascii="Times New Roman" w:eastAsia="Times New Roman" w:hAnsi="Times New Roman"/>
          <w:sz w:val="28"/>
          <w:szCs w:val="28"/>
        </w:rPr>
        <w:t xml:space="preserve">го года. </w:t>
      </w:r>
    </w:p>
    <w:p w:rsidR="00A224BC" w:rsidRPr="00C24CFA" w:rsidRDefault="00A224BC" w:rsidP="00C24C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Расходы районного бюджета за отчетный период исполнены в сумме   1 579 896,0 тыс. рублей или 98,9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% к плановым показателям (1597,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руб.).  Расходы 2014 года увеличились по сравнению с прошлым годом на  7,1%.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Дефицит районн</w:t>
      </w:r>
      <w:r w:rsidR="00EA4119" w:rsidRPr="00C24CFA">
        <w:rPr>
          <w:rFonts w:ascii="Times New Roman" w:eastAsia="Times New Roman" w:hAnsi="Times New Roman"/>
          <w:sz w:val="28"/>
          <w:szCs w:val="24"/>
          <w:lang w:eastAsia="ru-RU"/>
        </w:rPr>
        <w:t>ого бюджета составил в сумме 15,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A4119" w:rsidRPr="00C24CFA">
        <w:rPr>
          <w:rFonts w:ascii="Times New Roman" w:eastAsia="Times New Roman" w:hAnsi="Times New Roman"/>
          <w:sz w:val="28"/>
          <w:szCs w:val="24"/>
          <w:lang w:eastAsia="ru-RU"/>
        </w:rPr>
        <w:t xml:space="preserve"> млн.</w:t>
      </w:r>
      <w:r w:rsidRPr="00C24CFA">
        <w:rPr>
          <w:rFonts w:ascii="Times New Roman" w:eastAsia="Times New Roman" w:hAnsi="Times New Roman"/>
          <w:sz w:val="28"/>
          <w:szCs w:val="24"/>
          <w:lang w:eastAsia="ru-RU"/>
        </w:rPr>
        <w:t xml:space="preserve"> рублей.  </w:t>
      </w:r>
    </w:p>
    <w:p w:rsidR="00511FBF" w:rsidRPr="00C24CFA" w:rsidRDefault="00A224BC" w:rsidP="00C24C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бюджет муниципального образования Тимашевский район по налоговым и неналоговым доходам был утвержден в сумме 486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 Фактически  поступило – 524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рублей, или 107,9 % к годовому плану. В разрезе доходных источников обеспечено исполнение всех бюджетных назн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чений. </w:t>
      </w:r>
    </w:p>
    <w:p w:rsidR="008634EB" w:rsidRPr="00C24CFA" w:rsidRDefault="008634EB" w:rsidP="008634E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00CF" w:rsidRPr="00C24CFA" w:rsidRDefault="00A224BC" w:rsidP="004C00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Структура поступлений налоговых и н</w:t>
      </w:r>
      <w:r w:rsidR="004C00CF"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еналоговых доходов в 2014 </w:t>
      </w:r>
      <w:proofErr w:type="spellStart"/>
      <w:r w:rsidR="004C00CF"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году,</w:t>
      </w:r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spellEnd"/>
      <w:r w:rsidRPr="00C24C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%</w:t>
      </w:r>
    </w:p>
    <w:p w:rsidR="004C00CF" w:rsidRPr="00C24CFA" w:rsidRDefault="004C00CF" w:rsidP="004C00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24BC" w:rsidRPr="00C24CFA" w:rsidRDefault="00A224BC" w:rsidP="004C0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571293" wp14:editId="4570627A">
            <wp:extent cx="6124575" cy="335280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24CFA" w:rsidRDefault="00C24CFA" w:rsidP="00C24C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BC" w:rsidRPr="00C24CFA" w:rsidRDefault="00A224BC" w:rsidP="00C24C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Основная доля расходов районного бюджета приходится на социально-культурную сферу – 1362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или 86,2 % от общей суммы расходов Ро</w:t>
      </w:r>
      <w:proofErr w:type="gramStart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ст к пр</w:t>
      </w:r>
      <w:proofErr w:type="gramEnd"/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ошлому году составил 9%.</w:t>
      </w:r>
    </w:p>
    <w:p w:rsidR="00A224BC" w:rsidRPr="00C24CFA" w:rsidRDefault="00A224BC" w:rsidP="00A2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Большая часть средств от суммы бюджета направлена на образование - 73,9%;   здравоохранение - 2,3 %;   социальную политику – 5,3 %, культуру – 2,6 %, и  физкультуру и спорт – 2,1%.</w:t>
      </w:r>
    </w:p>
    <w:p w:rsidR="00A224BC" w:rsidRPr="00C24CFA" w:rsidRDefault="00A224BC" w:rsidP="00A224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2014 году в полном объеме перечислена субсидия на выполнение м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ниципального задания бюджетным и автономным муниципальным учрежден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ям 1101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рублей, что составило 121,9 процента к прошлому году (902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270D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рублей). Таким образом, на выполнение муниципального задания 69-ти бюджетным учрежде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ниям перечислено субсидии 1006,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 и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4-м а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тономным учреждениям  94,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рублей. Субсидии на иные цели из бюджета района муниципальным учр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>еждениям перечислено в сумме 95,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4119" w:rsidRPr="00C24CFA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:rsidR="004C00CF" w:rsidRPr="00C24CFA" w:rsidRDefault="004C00CF" w:rsidP="00A224B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4BC" w:rsidRPr="00C24CFA" w:rsidRDefault="00A224BC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расходов районного бюджета</w:t>
      </w:r>
      <w:r w:rsidR="004C00CF"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2014 году, в %</w:t>
      </w:r>
    </w:p>
    <w:p w:rsidR="00A224BC" w:rsidRPr="00C24CFA" w:rsidRDefault="00A224BC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CF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7F6024" wp14:editId="4098315A">
            <wp:simplePos x="0" y="0"/>
            <wp:positionH relativeFrom="column">
              <wp:posOffset>-70485</wp:posOffset>
            </wp:positionH>
            <wp:positionV relativeFrom="paragraph">
              <wp:posOffset>220345</wp:posOffset>
            </wp:positionV>
            <wp:extent cx="6238875" cy="2876550"/>
            <wp:effectExtent l="0" t="0" r="9525" b="19050"/>
            <wp:wrapNone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F" w:rsidRPr="00C24CFA" w:rsidRDefault="004C00CF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0CF" w:rsidRPr="00A224BC" w:rsidRDefault="004C00CF" w:rsidP="004C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tabs>
          <w:tab w:val="left" w:pos="399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224BC" w:rsidRPr="00A224BC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C00CF" w:rsidRDefault="004C00CF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4C00CF" w:rsidRDefault="004C00CF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4C00CF" w:rsidRDefault="004C00CF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224BC" w:rsidRPr="00A224BC" w:rsidRDefault="00A224BC" w:rsidP="00A224B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В целях поощрения в 2014 го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ду Тимашевский район получил  3,3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рублей. Также,  ра</w:t>
      </w:r>
      <w:r w:rsidR="00F57154" w:rsidRPr="00C24CFA">
        <w:rPr>
          <w:rFonts w:ascii="Times New Roman" w:eastAsia="Times New Roman" w:hAnsi="Times New Roman"/>
          <w:sz w:val="28"/>
          <w:szCs w:val="28"/>
          <w:lang w:eastAsia="ru-RU"/>
        </w:rPr>
        <w:t>йоном получен грант в размере 5 млн</w:t>
      </w:r>
      <w:r w:rsidRPr="00C24CFA">
        <w:rPr>
          <w:rFonts w:ascii="Times New Roman" w:eastAsia="Times New Roman" w:hAnsi="Times New Roman"/>
          <w:sz w:val="28"/>
          <w:szCs w:val="28"/>
          <w:lang w:eastAsia="ru-RU"/>
        </w:rPr>
        <w:t>. рублей за достижение наилучших показателей деятельности органов местного самоуправления.</w:t>
      </w:r>
      <w:r w:rsidRPr="00A22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486" w:rsidRDefault="00547486" w:rsidP="0074170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537E" w:rsidRDefault="009C7FE7" w:rsidP="004C00CF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417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.1. Анализ</w:t>
      </w:r>
      <w:r w:rsidR="00741702" w:rsidRPr="00913C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хозяйствующих субъектов</w:t>
      </w:r>
      <w:r w:rsidR="007417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территории муниципальн</w:t>
      </w:r>
      <w:r w:rsidR="007417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7417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 образования.</w:t>
      </w:r>
    </w:p>
    <w:p w:rsidR="00C24CFA" w:rsidRPr="00C24CFA" w:rsidRDefault="00C24CFA" w:rsidP="00C24CFA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муниципального образования Тимашевский район по состоянию на 1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января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201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года осуществляют свою деятельность:</w:t>
      </w:r>
    </w:p>
    <w:p w:rsidR="00C24CFA" w:rsidRPr="00C24CFA" w:rsidRDefault="00C24CFA" w:rsidP="00C24CFA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средних предприятий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</w:t>
      </w:r>
    </w:p>
    <w:p w:rsidR="00C24CFA" w:rsidRPr="00C24CFA" w:rsidRDefault="00C24CFA" w:rsidP="00C24CFA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>малых (юридические лица) – 60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 </w:t>
      </w:r>
    </w:p>
    <w:p w:rsidR="00C24CFA" w:rsidRPr="00C24CFA" w:rsidRDefault="00C24CFA" w:rsidP="00C24CFA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 xml:space="preserve">индивидуальных предпринимателей 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5177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 </w:t>
      </w:r>
    </w:p>
    <w:p w:rsidR="00C24CFA" w:rsidRPr="00C24CFA" w:rsidRDefault="00C24CFA" w:rsidP="004C00CF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3537E" w:rsidRPr="00C24CFA" w:rsidRDefault="00B3537E" w:rsidP="00B3537E">
      <w:pPr>
        <w:pStyle w:val="af4"/>
        <w:keepNext/>
        <w:tabs>
          <w:tab w:val="left" w:pos="684"/>
        </w:tabs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4CFA">
        <w:rPr>
          <w:rFonts w:ascii="Times New Roman" w:hAnsi="Times New Roman"/>
          <w:b/>
          <w:color w:val="000000"/>
          <w:sz w:val="28"/>
          <w:szCs w:val="28"/>
        </w:rPr>
        <w:t xml:space="preserve">Общее количество хозяйствующих субъектов </w:t>
      </w:r>
    </w:p>
    <w:p w:rsidR="00B3537E" w:rsidRPr="00C24CFA" w:rsidRDefault="00B3537E" w:rsidP="00B3537E">
      <w:pPr>
        <w:pStyle w:val="af4"/>
        <w:keepNext/>
        <w:tabs>
          <w:tab w:val="left" w:pos="684"/>
        </w:tabs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 w:rsidRPr="00C24CFA">
        <w:rPr>
          <w:rFonts w:ascii="Times New Roman" w:hAnsi="Times New Roman"/>
          <w:color w:val="000000"/>
          <w:sz w:val="28"/>
          <w:szCs w:val="28"/>
        </w:rPr>
        <w:t>Таблица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977"/>
        <w:gridCol w:w="993"/>
        <w:gridCol w:w="992"/>
        <w:gridCol w:w="1275"/>
        <w:gridCol w:w="1134"/>
        <w:gridCol w:w="1417"/>
      </w:tblGrid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ста, 2015/2014,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ста, 2016/2015, %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Общее количество хозя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й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ствующих субъектов, ед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 xml:space="preserve">ниц, </w:t>
            </w:r>
          </w:p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субъекты крупного бизн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са,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субъекты малого и сре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д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него предпринимательства (юридические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103,1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B3537E" w:rsidRPr="00C24CFA" w:rsidTr="00C67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E" w:rsidRPr="00C24CFA" w:rsidRDefault="00B3537E" w:rsidP="00C671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E" w:rsidRPr="00C24CFA" w:rsidRDefault="00B3537E" w:rsidP="00C671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</w:tr>
    </w:tbl>
    <w:p w:rsidR="00B3537E" w:rsidRPr="00C24CFA" w:rsidRDefault="00B3537E" w:rsidP="00B3537E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3537E" w:rsidRPr="00C24CFA" w:rsidRDefault="00B3537E" w:rsidP="00B3537E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2014</w:t>
      </w:r>
      <w:r w:rsidR="00C24CFA"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</w:t>
      </w:r>
      <w:r w:rsidR="00C24CFA" w:rsidRPr="00C24CFA">
        <w:rPr>
          <w:rFonts w:ascii="Times New Roman" w:eastAsia="Times New Roman" w:hAnsi="Times New Roman"/>
          <w:sz w:val="28"/>
          <w:szCs w:val="28"/>
          <w:lang w:eastAsia="x-none"/>
        </w:rPr>
        <w:t>у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коли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чество субъектов малого и среднего бизнеса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соответственно составило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средних предприятий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 малых (юридические лица)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597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индивидуальных предпринимателей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4956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 xml:space="preserve"> В 2015 году: 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средних предприятий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 малых (юридические лица)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600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ед.,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индивид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у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альных предпринимателей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–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5020</w:t>
      </w:r>
      <w:r w:rsidRPr="00C24CF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ед.</w:t>
      </w:r>
    </w:p>
    <w:p w:rsidR="00B3537E" w:rsidRPr="00C24CFA" w:rsidRDefault="00B3537E" w:rsidP="00B3537E">
      <w:pPr>
        <w:tabs>
          <w:tab w:val="left" w:pos="709"/>
          <w:tab w:val="left" w:pos="993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 xml:space="preserve">Уменьшение количества средних предприятий в 2015 году произошло по причине увеличения численности работников на двух предприятиях           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ООО «Завод по изоляции труб» и ОАО «Хлеб Кубани», что позволило перейти им в разряд крупных предприятий обрабатывающего производства.</w:t>
      </w:r>
    </w:p>
    <w:p w:rsidR="00B3537E" w:rsidRPr="00C24CFA" w:rsidRDefault="00B3537E" w:rsidP="00B3537E">
      <w:pPr>
        <w:tabs>
          <w:tab w:val="left" w:pos="709"/>
          <w:tab w:val="left" w:pos="993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Снижение численности населения, занятого в малом предпринимател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ь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стве в 2015 году по отношению к 2014 году, связано с</w:t>
      </w:r>
      <w:r w:rsidRPr="00C24CFA">
        <w:rPr>
          <w:rFonts w:ascii="Times New Roman" w:hAnsi="Times New Roman"/>
          <w:color w:val="000000"/>
          <w:sz w:val="28"/>
          <w:szCs w:val="28"/>
        </w:rPr>
        <w:t xml:space="preserve"> проведением оптимиз</w:t>
      </w:r>
      <w:r w:rsidRPr="00C24CFA">
        <w:rPr>
          <w:rFonts w:ascii="Times New Roman" w:hAnsi="Times New Roman"/>
          <w:color w:val="000000"/>
          <w:sz w:val="28"/>
          <w:szCs w:val="28"/>
        </w:rPr>
        <w:t>а</w:t>
      </w:r>
      <w:r w:rsidRPr="00C24CFA">
        <w:rPr>
          <w:rFonts w:ascii="Times New Roman" w:hAnsi="Times New Roman"/>
          <w:color w:val="000000"/>
          <w:sz w:val="28"/>
          <w:szCs w:val="28"/>
        </w:rPr>
        <w:t>ции производств на фоне нестабильной финансовой обстановки, резких скачков валют, дефицита денежных средств.</w:t>
      </w:r>
    </w:p>
    <w:p w:rsidR="00B3537E" w:rsidRPr="00C175D4" w:rsidRDefault="00B3537E" w:rsidP="00B3537E">
      <w:pPr>
        <w:tabs>
          <w:tab w:val="left" w:pos="709"/>
          <w:tab w:val="left" w:pos="993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CFA">
        <w:rPr>
          <w:rFonts w:ascii="Times New Roman" w:hAnsi="Times New Roman"/>
          <w:color w:val="000000"/>
          <w:sz w:val="28"/>
          <w:szCs w:val="28"/>
        </w:rPr>
        <w:t xml:space="preserve">В 2016 году по отношению к 2015 году наблюдался незначительный рост количества субъектов малого и среднего предпринимательства, а также </w:t>
      </w:r>
      <w:r w:rsidRPr="00C24CFA">
        <w:rPr>
          <w:rFonts w:ascii="Times New Roman" w:eastAsia="Times New Roman" w:hAnsi="Times New Roman"/>
          <w:sz w:val="28"/>
          <w:szCs w:val="28"/>
          <w:lang w:eastAsia="x-none"/>
        </w:rPr>
        <w:t>численности населения, занятого в малом предпринимательстве Тимашевского района.</w:t>
      </w:r>
    </w:p>
    <w:p w:rsidR="001720AC" w:rsidRPr="00C24CFA" w:rsidRDefault="001720AC" w:rsidP="001720AC">
      <w:pPr>
        <w:pStyle w:val="af4"/>
        <w:keepNext/>
        <w:tabs>
          <w:tab w:val="left" w:pos="684"/>
        </w:tabs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4CFA">
        <w:rPr>
          <w:rFonts w:ascii="Times New Roman" w:hAnsi="Times New Roman"/>
          <w:b/>
          <w:color w:val="000000"/>
          <w:sz w:val="28"/>
          <w:szCs w:val="28"/>
        </w:rPr>
        <w:t>Общее количество хозя</w:t>
      </w:r>
      <w:r w:rsidR="00C434B4" w:rsidRPr="00C24CFA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C24CFA">
        <w:rPr>
          <w:rFonts w:ascii="Times New Roman" w:hAnsi="Times New Roman"/>
          <w:b/>
          <w:color w:val="000000"/>
          <w:sz w:val="28"/>
          <w:szCs w:val="28"/>
        </w:rPr>
        <w:t xml:space="preserve">ствующих субъектов </w:t>
      </w:r>
    </w:p>
    <w:p w:rsidR="001720AC" w:rsidRPr="00C24CFA" w:rsidRDefault="001720AC" w:rsidP="001720AC">
      <w:pPr>
        <w:pStyle w:val="af4"/>
        <w:keepNext/>
        <w:tabs>
          <w:tab w:val="left" w:pos="684"/>
        </w:tabs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 w:rsidRPr="00C24CFA">
        <w:rPr>
          <w:rFonts w:ascii="Times New Roman" w:hAnsi="Times New Roman"/>
          <w:color w:val="000000"/>
          <w:sz w:val="28"/>
          <w:szCs w:val="28"/>
        </w:rPr>
        <w:t>Таблица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977"/>
        <w:gridCol w:w="993"/>
        <w:gridCol w:w="992"/>
        <w:gridCol w:w="1275"/>
        <w:gridCol w:w="1134"/>
        <w:gridCol w:w="1417"/>
      </w:tblGrid>
      <w:tr w:rsidR="001720AC" w:rsidRPr="00C24CFA" w:rsidTr="00B20F73">
        <w:trPr>
          <w:trHeight w:val="10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ста, 2015/2014,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B20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Темп 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ста, 2016/2015, %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Общее количество хозя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й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ствующих субъектов, ед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 xml:space="preserve">ниц, </w:t>
            </w:r>
          </w:p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20253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Количество субъектов крупного бизнеса,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720AC" w:rsidRPr="00C24CFA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C24CFA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Количество субъектов м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лого и среднего предпр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CFA">
              <w:rPr>
                <w:rFonts w:ascii="Times New Roman" w:hAnsi="Times New Roman"/>
                <w:sz w:val="24"/>
                <w:szCs w:val="24"/>
              </w:rPr>
              <w:t>нимательства,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102,8</w:t>
            </w:r>
          </w:p>
        </w:tc>
      </w:tr>
      <w:tr w:rsidR="001720AC" w:rsidRPr="0080257F" w:rsidTr="00C434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C24CFA" w:rsidRDefault="001720AC" w:rsidP="00C434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C24CFA" w:rsidRDefault="001720AC" w:rsidP="00C43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</w:tr>
    </w:tbl>
    <w:p w:rsidR="001720AC" w:rsidRPr="00AD655B" w:rsidRDefault="001720AC" w:rsidP="001720AC">
      <w:pPr>
        <w:pStyle w:val="a5"/>
        <w:tabs>
          <w:tab w:val="left" w:pos="993"/>
        </w:tabs>
        <w:spacing w:after="0" w:line="240" w:lineRule="auto"/>
        <w:ind w:left="1018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24CFA" w:rsidRDefault="00C24CFA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1720AC" w:rsidRPr="00C24CFA" w:rsidRDefault="001720AC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Отраслевая принадлежность к</w:t>
      </w:r>
      <w:r w:rsid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24CFA">
        <w:rPr>
          <w:rFonts w:ascii="Times New Roman" w:eastAsia="Times New Roman" w:hAnsi="Times New Roman"/>
          <w:b/>
          <w:sz w:val="28"/>
          <w:szCs w:val="28"/>
          <w:lang w:eastAsia="ru-RU"/>
        </w:rPr>
        <w:t>упных предприятий.</w:t>
      </w:r>
    </w:p>
    <w:p w:rsidR="001720AC" w:rsidRPr="00C24CFA" w:rsidRDefault="001720AC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830"/>
        <w:gridCol w:w="2908"/>
        <w:gridCol w:w="872"/>
        <w:gridCol w:w="872"/>
        <w:gridCol w:w="1464"/>
        <w:gridCol w:w="872"/>
        <w:gridCol w:w="1538"/>
      </w:tblGrid>
      <w:tr w:rsidR="00B20F73" w:rsidRPr="00C24CFA" w:rsidTr="00B20F73">
        <w:trPr>
          <w:trHeight w:val="6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роста, 2016/2014, %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роста, 2016/2015, %</w:t>
            </w:r>
          </w:p>
        </w:tc>
      </w:tr>
      <w:tr w:rsidR="00B20F73" w:rsidRPr="00C24CFA" w:rsidTr="00B20F73">
        <w:trPr>
          <w:trHeight w:val="63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B2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F73" w:rsidRPr="00C24CFA" w:rsidTr="00B20F73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F73" w:rsidRPr="00C24CFA" w:rsidTr="00B20F73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F73" w:rsidRPr="00C24CFA" w:rsidTr="00B20F73">
        <w:trPr>
          <w:trHeight w:val="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F73" w:rsidRPr="00C24CFA" w:rsidRDefault="00B20F73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F73" w:rsidRPr="00C24CFA" w:rsidRDefault="00B20F73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AC" w:rsidRPr="00C24CFA" w:rsidTr="00B20F73">
        <w:trPr>
          <w:trHeight w:val="945"/>
        </w:trPr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хозя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ствующих субъектов, единиц, 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4CF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перерабатывающая пр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C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оптовая торговля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санаторно-курортная де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0AC" w:rsidRPr="00C24CFA" w:rsidTr="00B20F73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операции с недвижим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стью, аренда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C24CFA" w:rsidRDefault="001720AC" w:rsidP="00C4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26783" w:rsidRDefault="00526783" w:rsidP="00526783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x-none"/>
        </w:rPr>
      </w:pPr>
    </w:p>
    <w:p w:rsidR="001720AC" w:rsidRPr="00526783" w:rsidRDefault="00526783" w:rsidP="00526783">
      <w:pPr>
        <w:keepNext/>
        <w:tabs>
          <w:tab w:val="left" w:pos="6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26783">
        <w:rPr>
          <w:rFonts w:ascii="Times New Roman" w:eastAsia="Times New Roman" w:hAnsi="Times New Roman"/>
          <w:sz w:val="28"/>
          <w:szCs w:val="28"/>
          <w:lang w:eastAsia="x-none"/>
        </w:rPr>
        <w:t>Наибольший вклад в экономический рост в 2016 году внесли промы</w:t>
      </w:r>
      <w:r w:rsidRPr="00526783">
        <w:rPr>
          <w:rFonts w:ascii="Times New Roman" w:eastAsia="Times New Roman" w:hAnsi="Times New Roman"/>
          <w:sz w:val="28"/>
          <w:szCs w:val="28"/>
          <w:lang w:eastAsia="x-none"/>
        </w:rPr>
        <w:t>ш</w:t>
      </w:r>
      <w:r w:rsidRPr="00526783">
        <w:rPr>
          <w:rFonts w:ascii="Times New Roman" w:eastAsia="Times New Roman" w:hAnsi="Times New Roman"/>
          <w:sz w:val="28"/>
          <w:szCs w:val="28"/>
          <w:lang w:eastAsia="x-none"/>
        </w:rPr>
        <w:t>ленность, сельское хозяйство и отрасли, оказывающие рыночные услуги - транспорт, связь, торговля. Промышленный комплекс Тимашевского района представлен отраслями: пищевой промышленностью (доля 68,3% районного промышленного производства), целлюлозно-бумажное производство (14,1%), производство готовых металлических изделий (5,8%), производство резиновых и пластмассовых изделий (7,8%).</w:t>
      </w:r>
    </w:p>
    <w:p w:rsidR="001720AC" w:rsidRPr="00526783" w:rsidRDefault="001720AC" w:rsidP="00C636BD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783">
        <w:rPr>
          <w:rFonts w:ascii="Times New Roman" w:hAnsi="Times New Roman" w:cs="Times New Roman"/>
          <w:color w:val="000000"/>
          <w:sz w:val="28"/>
          <w:szCs w:val="28"/>
        </w:rPr>
        <w:t>На территории Тимашевского района в 2016 году осуществляли деятел</w:t>
      </w:r>
      <w:r w:rsidRPr="005267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26783">
        <w:rPr>
          <w:rFonts w:ascii="Times New Roman" w:hAnsi="Times New Roman" w:cs="Times New Roman"/>
          <w:color w:val="000000"/>
          <w:sz w:val="28"/>
          <w:szCs w:val="28"/>
        </w:rPr>
        <w:t xml:space="preserve">ность 44 промышленных предприятий, в том числе 8 крупных и 36 средних. </w:t>
      </w:r>
    </w:p>
    <w:p w:rsidR="001720AC" w:rsidRPr="00C636BD" w:rsidRDefault="001720AC" w:rsidP="00C636BD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783">
        <w:rPr>
          <w:rFonts w:ascii="Times New Roman" w:hAnsi="Times New Roman" w:cs="Times New Roman"/>
          <w:color w:val="000000"/>
          <w:sz w:val="28"/>
          <w:szCs w:val="28"/>
        </w:rPr>
        <w:t>Отрасль «Промышленное производство» в районе представлена группой предприятий по выпуску различной упаковочной продукции, резиновых и пластмассовых изделий, а так же клея. Продукция данных предприятий реал</w:t>
      </w:r>
      <w:r w:rsidRPr="005267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783">
        <w:rPr>
          <w:rFonts w:ascii="Times New Roman" w:hAnsi="Times New Roman" w:cs="Times New Roman"/>
          <w:color w:val="000000"/>
          <w:sz w:val="28"/>
          <w:szCs w:val="28"/>
        </w:rPr>
        <w:t>зуется как в крае, так и за его пределами.</w:t>
      </w:r>
      <w:r w:rsidRPr="00C63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0AC" w:rsidRDefault="001720AC" w:rsidP="001720AC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26783" w:rsidRDefault="00526783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0AC" w:rsidRPr="0015763D" w:rsidRDefault="001720AC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63D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отгруженн</w:t>
      </w:r>
      <w:r w:rsidRPr="0015763D">
        <w:rPr>
          <w:rFonts w:ascii="Times New Roman" w:hAnsi="Times New Roman"/>
          <w:b/>
          <w:sz w:val="28"/>
          <w:szCs w:val="28"/>
        </w:rPr>
        <w:t>ой</w:t>
      </w:r>
      <w:r w:rsidRPr="001576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продукции предприятиями </w:t>
      </w:r>
      <w:r w:rsidRPr="0015763D">
        <w:rPr>
          <w:rFonts w:ascii="Times New Roman" w:hAnsi="Times New Roman"/>
          <w:b/>
          <w:sz w:val="28"/>
          <w:szCs w:val="28"/>
        </w:rPr>
        <w:t>промышленности</w:t>
      </w:r>
      <w:r w:rsidRPr="001576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района.</w:t>
      </w:r>
    </w:p>
    <w:p w:rsidR="001720AC" w:rsidRPr="0015763D" w:rsidRDefault="001720AC" w:rsidP="001720A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474"/>
        <w:gridCol w:w="1134"/>
        <w:gridCol w:w="992"/>
        <w:gridCol w:w="1134"/>
        <w:gridCol w:w="851"/>
        <w:gridCol w:w="709"/>
      </w:tblGrid>
      <w:tr w:rsidR="001720AC" w:rsidRPr="0015763D" w:rsidTr="001720AC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0AC" w:rsidRPr="0015763D" w:rsidRDefault="001720AC" w:rsidP="001720AC">
            <w:pPr>
              <w:widowControl w:val="0"/>
              <w:spacing w:after="0" w:line="240" w:lineRule="auto"/>
              <w:ind w:left="-146" w:right="-108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Динамика</w:t>
            </w:r>
          </w:p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2016 год к, %</w:t>
            </w:r>
          </w:p>
        </w:tc>
      </w:tr>
      <w:tr w:rsidR="001720AC" w:rsidRPr="0015763D" w:rsidTr="001720AC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 xml:space="preserve">2014 </w:t>
            </w:r>
          </w:p>
          <w:p w:rsidR="001720AC" w:rsidRPr="0015763D" w:rsidRDefault="001720AC" w:rsidP="00C43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2015 год</w:t>
            </w:r>
          </w:p>
        </w:tc>
      </w:tr>
      <w:tr w:rsidR="001720AC" w:rsidRPr="0015763D" w:rsidTr="001720AC">
        <w:trPr>
          <w:trHeight w:val="96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center"/>
              <w:rPr>
                <w:rFonts w:ascii="Times New Roman" w:hAnsi="Times New Roman"/>
              </w:rPr>
            </w:pPr>
          </w:p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1720AC" w:rsidRPr="0015763D" w:rsidRDefault="001720AC" w:rsidP="00C434B4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Объем отгруженной продукции предприят</w:t>
            </w:r>
            <w:r w:rsidRPr="0015763D">
              <w:rPr>
                <w:rFonts w:ascii="Times New Roman" w:hAnsi="Times New Roman"/>
              </w:rPr>
              <w:t>и</w:t>
            </w:r>
            <w:r w:rsidRPr="0015763D">
              <w:rPr>
                <w:rFonts w:ascii="Times New Roman" w:hAnsi="Times New Roman"/>
              </w:rPr>
              <w:t>ями промышленности, по отраслям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</w:p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8884117</w:t>
            </w:r>
          </w:p>
          <w:p w:rsidR="001720AC" w:rsidRPr="0015763D" w:rsidRDefault="001720AC" w:rsidP="00C434B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13421542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13834433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103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Лесная и деревообрабатывающая промы</w:t>
            </w:r>
            <w:r w:rsidRPr="0015763D">
              <w:rPr>
                <w:rFonts w:ascii="Times New Roman" w:hAnsi="Times New Roman"/>
              </w:rPr>
              <w:t>ш</w:t>
            </w:r>
            <w:r w:rsidRPr="0015763D">
              <w:rPr>
                <w:rFonts w:ascii="Times New Roman" w:hAnsi="Times New Roman"/>
              </w:rPr>
              <w:t>ленность (20)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47 498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50236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ind w:left="-108"/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105,8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Легкая промышленность (17-19)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101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Целлюлозно-бумажная промышленность (21)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3725822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5651673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6183137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109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Химическое производство (24)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486566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816755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1216739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149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Производство резиновых и пластмассовых изделий (25)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1945412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2562737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3275371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128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производство прочих неметаллических м</w:t>
            </w:r>
            <w:r w:rsidRPr="0015763D">
              <w:rPr>
                <w:rFonts w:ascii="Times New Roman" w:hAnsi="Times New Roman"/>
              </w:rPr>
              <w:t>и</w:t>
            </w:r>
            <w:r w:rsidRPr="0015763D">
              <w:rPr>
                <w:rFonts w:ascii="Times New Roman" w:hAnsi="Times New Roman"/>
              </w:rPr>
              <w:t>неральных продуктов (26)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150</w:t>
            </w:r>
          </w:p>
        </w:tc>
      </w:tr>
      <w:tr w:rsidR="001720AC" w:rsidRPr="0015763D" w:rsidTr="001720AC">
        <w:trPr>
          <w:trHeight w:val="4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Производство готовых металлических изд</w:t>
            </w:r>
            <w:r w:rsidRPr="0015763D">
              <w:rPr>
                <w:rFonts w:ascii="Times New Roman" w:hAnsi="Times New Roman"/>
              </w:rPr>
              <w:t>е</w:t>
            </w:r>
            <w:r w:rsidRPr="0015763D">
              <w:rPr>
                <w:rFonts w:ascii="Times New Roman" w:hAnsi="Times New Roman"/>
              </w:rPr>
              <w:t>лий (28)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2658184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3939903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2521722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64</w:t>
            </w:r>
          </w:p>
        </w:tc>
      </w:tr>
      <w:tr w:rsidR="001720AC" w:rsidRPr="0015763D" w:rsidTr="001720A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Издательская и полиграфическая деятел</w:t>
            </w:r>
            <w:r w:rsidRPr="0015763D">
              <w:rPr>
                <w:rFonts w:ascii="Times New Roman" w:hAnsi="Times New Roman"/>
              </w:rPr>
              <w:t>ь</w:t>
            </w:r>
            <w:r w:rsidRPr="0015763D">
              <w:rPr>
                <w:rFonts w:ascii="Times New Roman" w:hAnsi="Times New Roman"/>
              </w:rPr>
              <w:t>ность (22)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11137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11138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100</w:t>
            </w:r>
          </w:p>
        </w:tc>
      </w:tr>
      <w:tr w:rsidR="001720AC" w:rsidRPr="0015763D" w:rsidTr="001720AC">
        <w:trPr>
          <w:trHeight w:val="31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1720AC">
            <w:pPr>
              <w:widowControl w:val="0"/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Прочие производства (37) (тыс.руб)</w:t>
            </w:r>
          </w:p>
          <w:p w:rsidR="001720AC" w:rsidRPr="0015763D" w:rsidRDefault="001720AC" w:rsidP="00C434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3812728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430700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566711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11449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C" w:rsidRPr="0015763D" w:rsidRDefault="001720AC" w:rsidP="00C434B4">
            <w:pPr>
              <w:jc w:val="center"/>
              <w:rPr>
                <w:rFonts w:ascii="Times New Roman" w:hAnsi="Times New Roman"/>
              </w:rPr>
            </w:pPr>
            <w:r w:rsidRPr="0015763D">
              <w:rPr>
                <w:rFonts w:ascii="Times New Roman" w:hAnsi="Times New Roman"/>
              </w:rPr>
              <w:t>132</w:t>
            </w:r>
          </w:p>
        </w:tc>
      </w:tr>
    </w:tbl>
    <w:p w:rsidR="001720AC" w:rsidRPr="0015763D" w:rsidRDefault="001720AC" w:rsidP="001720AC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 xml:space="preserve">Несмотря на стабильность за </w:t>
      </w:r>
      <w:r w:rsidR="0015763D" w:rsidRPr="0015763D">
        <w:rPr>
          <w:rFonts w:ascii="Times New Roman" w:hAnsi="Times New Roman"/>
          <w:sz w:val="28"/>
          <w:szCs w:val="28"/>
        </w:rPr>
        <w:t>2016 год</w:t>
      </w:r>
      <w:r w:rsidRPr="0015763D">
        <w:rPr>
          <w:rFonts w:ascii="Times New Roman" w:hAnsi="Times New Roman"/>
          <w:sz w:val="28"/>
          <w:szCs w:val="28"/>
        </w:rPr>
        <w:t xml:space="preserve"> снижение объемов производства в натуральном выражении в сравнении с 2015 годом допущено: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бумага и картон гофрированные – 47495 тыс. кв.м., уменьшение на – 9169 тыс. кв.м. или на 16,2 % (предприятие работает в пределах заказа);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 xml:space="preserve">- ящики из гофрированного картона (тара транспортная) – 61723 </w:t>
      </w:r>
      <w:proofErr w:type="spellStart"/>
      <w:r w:rsidRPr="0015763D">
        <w:rPr>
          <w:rFonts w:ascii="Times New Roman" w:hAnsi="Times New Roman"/>
          <w:sz w:val="28"/>
          <w:szCs w:val="28"/>
        </w:rPr>
        <w:t>тыс.кв</w:t>
      </w:r>
      <w:proofErr w:type="spellEnd"/>
      <w:r w:rsidRPr="0015763D">
        <w:rPr>
          <w:rFonts w:ascii="Times New Roman" w:hAnsi="Times New Roman"/>
          <w:sz w:val="28"/>
          <w:szCs w:val="28"/>
        </w:rPr>
        <w:t>. м, уменьшение на 6163 тыс. кв.м. или на 9,1% (предприятие работает в пред</w:t>
      </w:r>
      <w:r w:rsidRPr="0015763D">
        <w:rPr>
          <w:rFonts w:ascii="Times New Roman" w:hAnsi="Times New Roman"/>
          <w:sz w:val="28"/>
          <w:szCs w:val="28"/>
        </w:rPr>
        <w:t>е</w:t>
      </w:r>
      <w:r w:rsidRPr="0015763D">
        <w:rPr>
          <w:rFonts w:ascii="Times New Roman" w:hAnsi="Times New Roman"/>
          <w:sz w:val="28"/>
          <w:szCs w:val="28"/>
        </w:rPr>
        <w:t>лах заказа);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материалы аналогичные и лакокрасочные для нанесения покрытий пр</w:t>
      </w:r>
      <w:r w:rsidRPr="0015763D">
        <w:rPr>
          <w:rFonts w:ascii="Times New Roman" w:hAnsi="Times New Roman"/>
          <w:sz w:val="28"/>
          <w:szCs w:val="28"/>
        </w:rPr>
        <w:t>о</w:t>
      </w:r>
      <w:r w:rsidRPr="0015763D">
        <w:rPr>
          <w:rFonts w:ascii="Times New Roman" w:hAnsi="Times New Roman"/>
          <w:sz w:val="28"/>
          <w:szCs w:val="28"/>
        </w:rPr>
        <w:t>чие; сиккативы готовые – 53 тонн, уменьшение на 144 тонн или на 73,1 % (предприятие работает в пределах заказа);</w:t>
      </w:r>
    </w:p>
    <w:p w:rsidR="001720AC" w:rsidRPr="0015763D" w:rsidRDefault="001720AC" w:rsidP="0017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Снизилось производство в подотраслях:</w:t>
      </w:r>
    </w:p>
    <w:p w:rsidR="001720AC" w:rsidRPr="0015763D" w:rsidRDefault="001720AC" w:rsidP="001720A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«металлургическое производство и производство готовых металлических изделий» – на 411,8  млн. руб</w:t>
      </w:r>
      <w:r w:rsidR="00526783">
        <w:rPr>
          <w:rFonts w:ascii="Times New Roman" w:hAnsi="Times New Roman"/>
          <w:sz w:val="28"/>
          <w:szCs w:val="28"/>
        </w:rPr>
        <w:t>.</w:t>
      </w:r>
      <w:r w:rsidRPr="0015763D">
        <w:rPr>
          <w:rFonts w:ascii="Times New Roman" w:hAnsi="Times New Roman"/>
          <w:sz w:val="28"/>
          <w:szCs w:val="28"/>
        </w:rPr>
        <w:t xml:space="preserve"> или на 14,0 % (предприятие работает в пределах заказа).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Возросло производство в подотраслях: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-«целлюлозно-бумажное производство; издательская и полиграфическая деятельность» - на 9,4 % (на 531 млн. руб.) У организаций ЗАО «АР Картон», ЗАО «Пэкэджинг Кубань», основных производителей упаковочной продукции возросли цены на реализуемую продукцию;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«производство резиновых и пластмассовых изделий» – на 24,7% (на 649 млн. руб.), (ЗАО «Констанция Кубань») повлияло удорожание продукции (пр</w:t>
      </w:r>
      <w:r w:rsidRPr="0015763D">
        <w:rPr>
          <w:rFonts w:ascii="Times New Roman" w:hAnsi="Times New Roman"/>
          <w:sz w:val="28"/>
          <w:szCs w:val="28"/>
        </w:rPr>
        <w:t>и</w:t>
      </w:r>
      <w:r w:rsidRPr="0015763D">
        <w:rPr>
          <w:rFonts w:ascii="Times New Roman" w:hAnsi="Times New Roman"/>
          <w:sz w:val="28"/>
          <w:szCs w:val="28"/>
        </w:rPr>
        <w:t>обретение сырья в долларах США - курсовые разницы);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«химическое производство» - на 54,2% (на 428 млн. руб.) - на увелич</w:t>
      </w:r>
      <w:r w:rsidRPr="0015763D">
        <w:rPr>
          <w:rFonts w:ascii="Times New Roman" w:hAnsi="Times New Roman"/>
          <w:sz w:val="28"/>
          <w:szCs w:val="28"/>
        </w:rPr>
        <w:t>е</w:t>
      </w:r>
      <w:r w:rsidRPr="0015763D">
        <w:rPr>
          <w:rFonts w:ascii="Times New Roman" w:hAnsi="Times New Roman"/>
          <w:sz w:val="28"/>
          <w:szCs w:val="28"/>
        </w:rPr>
        <w:t>ние реализации ООО «Кубань-Полимер» повлияло увеличение цен на реализ</w:t>
      </w:r>
      <w:r w:rsidRPr="0015763D">
        <w:rPr>
          <w:rFonts w:ascii="Times New Roman" w:hAnsi="Times New Roman"/>
          <w:sz w:val="28"/>
          <w:szCs w:val="28"/>
        </w:rPr>
        <w:t>у</w:t>
      </w:r>
      <w:r w:rsidRPr="0015763D">
        <w:rPr>
          <w:rFonts w:ascii="Times New Roman" w:hAnsi="Times New Roman"/>
          <w:sz w:val="28"/>
          <w:szCs w:val="28"/>
        </w:rPr>
        <w:t xml:space="preserve">емую продукцию (приобретение сырья в долларах США - курсовые разницы). </w:t>
      </w:r>
    </w:p>
    <w:p w:rsidR="001720AC" w:rsidRPr="0015763D" w:rsidRDefault="001720AC" w:rsidP="0017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-производство прочих неметаллических минеральных продуктов – на 49,9 % (на 1,5 млн. руб.) в НАО «ДРСУ» с марта 2016 года увеличилось произво</w:t>
      </w:r>
      <w:r w:rsidRPr="0015763D">
        <w:rPr>
          <w:rFonts w:ascii="Times New Roman" w:hAnsi="Times New Roman"/>
          <w:sz w:val="28"/>
          <w:szCs w:val="28"/>
        </w:rPr>
        <w:t>д</w:t>
      </w:r>
      <w:r w:rsidRPr="0015763D">
        <w:rPr>
          <w:rFonts w:ascii="Times New Roman" w:hAnsi="Times New Roman"/>
          <w:sz w:val="28"/>
          <w:szCs w:val="28"/>
        </w:rPr>
        <w:t>ство битуминозных смесей на основе природного асфальта или битума, нефт</w:t>
      </w:r>
      <w:r w:rsidRPr="0015763D">
        <w:rPr>
          <w:rFonts w:ascii="Times New Roman" w:hAnsi="Times New Roman"/>
          <w:sz w:val="28"/>
          <w:szCs w:val="28"/>
        </w:rPr>
        <w:t>я</w:t>
      </w:r>
      <w:r w:rsidRPr="0015763D">
        <w:rPr>
          <w:rFonts w:ascii="Times New Roman" w:hAnsi="Times New Roman"/>
          <w:sz w:val="28"/>
          <w:szCs w:val="28"/>
        </w:rPr>
        <w:t>ного битума, минеральных смол или их пеков в связи с увеличением заказов (выиграли тендер).</w:t>
      </w:r>
    </w:p>
    <w:p w:rsidR="00C636BD" w:rsidRPr="0015763D" w:rsidRDefault="00C636BD" w:rsidP="00C636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Рост объемов производства в натуральном выражении в 2016 году в сра</w:t>
      </w:r>
      <w:r w:rsidRPr="0015763D">
        <w:rPr>
          <w:rFonts w:ascii="Times New Roman" w:hAnsi="Times New Roman"/>
          <w:sz w:val="28"/>
          <w:szCs w:val="28"/>
        </w:rPr>
        <w:t>в</w:t>
      </w:r>
      <w:r w:rsidRPr="0015763D">
        <w:rPr>
          <w:rFonts w:ascii="Times New Roman" w:hAnsi="Times New Roman"/>
          <w:sz w:val="28"/>
          <w:szCs w:val="28"/>
        </w:rPr>
        <w:t xml:space="preserve">нении 2015 годом: </w:t>
      </w:r>
    </w:p>
    <w:p w:rsidR="00C636BD" w:rsidRPr="0015763D" w:rsidRDefault="00C636BD" w:rsidP="00C636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lastRenderedPageBreak/>
        <w:t>- пачки (тара потребительская) из негофрированного картона – 1067 тонн, рост на 47 тонн или на 4,6 % (предприятие АО «АР Картон» работает в пред</w:t>
      </w:r>
      <w:r w:rsidRPr="0015763D">
        <w:rPr>
          <w:rFonts w:ascii="Times New Roman" w:hAnsi="Times New Roman"/>
          <w:sz w:val="28"/>
          <w:szCs w:val="28"/>
        </w:rPr>
        <w:t>е</w:t>
      </w:r>
      <w:r w:rsidRPr="0015763D">
        <w:rPr>
          <w:rFonts w:ascii="Times New Roman" w:hAnsi="Times New Roman"/>
          <w:sz w:val="28"/>
          <w:szCs w:val="28"/>
        </w:rPr>
        <w:t>лах заказа);</w:t>
      </w:r>
    </w:p>
    <w:p w:rsidR="00C636BD" w:rsidRPr="0015763D" w:rsidRDefault="00C636BD" w:rsidP="00C636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бумага и картон (многослойные) гофрированные прочие – 14223 тыс. кв.м., увеличение на 3001 тыс. кв.м. или 26,7% в соответствии со спросом п</w:t>
      </w:r>
      <w:r w:rsidRPr="0015763D">
        <w:rPr>
          <w:rFonts w:ascii="Times New Roman" w:hAnsi="Times New Roman"/>
          <w:sz w:val="28"/>
          <w:szCs w:val="28"/>
        </w:rPr>
        <w:t>о</w:t>
      </w:r>
      <w:r w:rsidRPr="0015763D">
        <w:rPr>
          <w:rFonts w:ascii="Times New Roman" w:hAnsi="Times New Roman"/>
          <w:sz w:val="28"/>
          <w:szCs w:val="28"/>
        </w:rPr>
        <w:t>купателей (ЗАО "Пэкэджинг Кубань");</w:t>
      </w:r>
    </w:p>
    <w:p w:rsidR="00C636BD" w:rsidRPr="0015763D" w:rsidRDefault="00C636BD" w:rsidP="00C636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63D">
        <w:rPr>
          <w:rFonts w:ascii="Times New Roman" w:hAnsi="Times New Roman"/>
          <w:sz w:val="28"/>
          <w:szCs w:val="28"/>
        </w:rPr>
        <w:t>- коробки (тара потребительская) из негофрированного картона- 21750 тонн, увеличение на 189 тонн или 0,9% - предприятие АО «АР Картон» работ</w:t>
      </w:r>
      <w:r w:rsidRPr="0015763D">
        <w:rPr>
          <w:rFonts w:ascii="Times New Roman" w:hAnsi="Times New Roman"/>
          <w:sz w:val="28"/>
          <w:szCs w:val="28"/>
        </w:rPr>
        <w:t>а</w:t>
      </w:r>
      <w:r w:rsidRPr="0015763D">
        <w:rPr>
          <w:rFonts w:ascii="Times New Roman" w:hAnsi="Times New Roman"/>
          <w:sz w:val="28"/>
          <w:szCs w:val="28"/>
        </w:rPr>
        <w:t>ет в приделах заказа.</w:t>
      </w:r>
    </w:p>
    <w:p w:rsidR="001720AC" w:rsidRPr="0015763D" w:rsidRDefault="001720AC" w:rsidP="001720AC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63D" w:rsidRPr="0015763D" w:rsidRDefault="001720AC" w:rsidP="0015763D">
      <w:pPr>
        <w:pStyle w:val="Con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76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Рейтинг крупных и средних промышленных предприятий </w:t>
      </w:r>
    </w:p>
    <w:p w:rsidR="001720AC" w:rsidRPr="0015763D" w:rsidRDefault="0015763D" w:rsidP="0015763D">
      <w:pPr>
        <w:pStyle w:val="Con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763D">
        <w:rPr>
          <w:rFonts w:ascii="Times New Roman" w:hAnsi="Times New Roman" w:cs="Times New Roman"/>
          <w:b/>
          <w:color w:val="000000"/>
          <w:sz w:val="28"/>
          <w:szCs w:val="28"/>
        </w:rPr>
        <w:t>Тимашевского района</w:t>
      </w:r>
      <w:r w:rsidR="001720AC" w:rsidRPr="001576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ито</w:t>
      </w:r>
      <w:r w:rsidRPr="0015763D">
        <w:rPr>
          <w:rFonts w:ascii="Times New Roman" w:hAnsi="Times New Roman" w:cs="Times New Roman"/>
          <w:b/>
          <w:color w:val="000000"/>
          <w:sz w:val="28"/>
          <w:szCs w:val="28"/>
        </w:rPr>
        <w:t>гам 2016 года</w:t>
      </w:r>
    </w:p>
    <w:p w:rsidR="001720AC" w:rsidRPr="0015763D" w:rsidRDefault="001720AC" w:rsidP="001720AC">
      <w:pPr>
        <w:pStyle w:val="Con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044"/>
        <w:gridCol w:w="1134"/>
        <w:gridCol w:w="1146"/>
        <w:gridCol w:w="711"/>
        <w:gridCol w:w="990"/>
        <w:gridCol w:w="696"/>
        <w:gridCol w:w="980"/>
        <w:gridCol w:w="709"/>
        <w:gridCol w:w="1134"/>
        <w:gridCol w:w="711"/>
        <w:gridCol w:w="668"/>
      </w:tblGrid>
      <w:tr w:rsidR="001720AC" w:rsidRPr="0015763D" w:rsidTr="001720AC">
        <w:trPr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нование пре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приятия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отгр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женной проду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ции, тыс. рублей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% к 2015 году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Чистая пр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быль, тыс. </w:t>
            </w:r>
            <w:proofErr w:type="spellStart"/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% к  2015 году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числ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 нал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гов в бюдж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ты всех уро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ней,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% к  2015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списо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ная чи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ленность рабо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ников, чел.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% к  2015 году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1720AC">
            <w:pPr>
              <w:spacing w:after="0" w:line="240" w:lineRule="auto"/>
              <w:ind w:left="-149" w:right="-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нем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ся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ная зар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ная плата, тыс. ру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r w:rsidRPr="001576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лей</w:t>
            </w:r>
          </w:p>
        </w:tc>
      </w:tr>
      <w:tr w:rsidR="001720AC" w:rsidRPr="0015763D" w:rsidTr="001720A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целюлоз-бумажн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АО "АР КА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ТОН"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6239319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lang w:eastAsia="ru-RU"/>
              </w:rPr>
              <w:t>816 150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155189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100,6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56,3</w:t>
            </w:r>
          </w:p>
        </w:tc>
      </w:tr>
      <w:tr w:rsidR="001720AC" w:rsidRPr="0015763D" w:rsidTr="001720A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металл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бработка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Краун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Корк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бань"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2496162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68287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303871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</w:tr>
      <w:tr w:rsidR="001720AC" w:rsidRPr="0015763D" w:rsidTr="001720A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целюлоз-бумажн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ЗАО "Пэкэ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жинг К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бань"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2 414 430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2703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50 173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</w:tr>
      <w:tr w:rsidR="001720AC" w:rsidRPr="0015763D" w:rsidTr="001720A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 4.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химич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ская </w:t>
            </w: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пр-ть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ООО "Кубань-Пол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мер"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1 177 174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131664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107715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35,8</w:t>
            </w:r>
          </w:p>
        </w:tc>
      </w:tr>
      <w:tr w:rsidR="001720AC" w:rsidRPr="0015763D" w:rsidTr="001720A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 5.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пр-во р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зины и плас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масс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ЗАО "Ко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станция Кубань"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3 260 515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162689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162 481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</w:tr>
      <w:tr w:rsidR="001720AC" w:rsidRPr="0015763D" w:rsidTr="001720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 6.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ООО "Титан""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693 000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27 000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47 960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</w:tr>
      <w:tr w:rsidR="001720AC" w:rsidRPr="0015763D" w:rsidTr="001720A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 7.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металл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бработ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-ка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C" w:rsidRPr="00A74CF4" w:rsidRDefault="00A74CF4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ООО "З</w:t>
            </w:r>
            <w:r w:rsidRPr="00A74CF4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A74CF4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вод по изоляции труб"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208981,3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20,9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-8871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28131,3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ind w:left="-96"/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51,21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jc w:val="right"/>
              <w:rPr>
                <w:rFonts w:ascii="Times New Roman" w:hAnsi="Times New Roman"/>
                <w:color w:val="000000"/>
              </w:rPr>
            </w:pPr>
            <w:r w:rsidRPr="0015763D">
              <w:rPr>
                <w:rFonts w:ascii="Times New Roman" w:hAnsi="Times New Roman"/>
                <w:color w:val="000000"/>
              </w:rPr>
              <w:t>26,7</w:t>
            </w:r>
          </w:p>
        </w:tc>
      </w:tr>
      <w:tr w:rsidR="001720AC" w:rsidRPr="00883AC2" w:rsidTr="001720A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 8.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C" w:rsidRPr="0015763D" w:rsidRDefault="001720AC" w:rsidP="00C434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металл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бработ</w:t>
            </w:r>
            <w:proofErr w:type="spellEnd"/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-ка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C" w:rsidRPr="0015763D" w:rsidRDefault="00A74CF4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ООО "Т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ру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ные п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крытия и сервис</w:t>
            </w:r>
            <w:r w:rsidR="001720AC"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26591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-30405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5237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15763D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AC" w:rsidRPr="00883AC2" w:rsidRDefault="001720AC" w:rsidP="00C4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63D"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</w:tr>
    </w:tbl>
    <w:p w:rsidR="00526783" w:rsidRPr="00C636BD" w:rsidRDefault="00526783" w:rsidP="00526783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26783" w:rsidRPr="00F05DFA" w:rsidRDefault="00526783" w:rsidP="00F05DFA">
      <w:pPr>
        <w:pStyle w:val="af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783">
        <w:rPr>
          <w:rFonts w:ascii="Times New Roman" w:hAnsi="Times New Roman"/>
          <w:b/>
          <w:sz w:val="28"/>
          <w:szCs w:val="28"/>
        </w:rPr>
        <w:lastRenderedPageBreak/>
        <w:t>В строительном комплексе</w:t>
      </w:r>
      <w:r w:rsidRPr="00526783">
        <w:rPr>
          <w:rFonts w:ascii="Times New Roman" w:hAnsi="Times New Roman"/>
          <w:sz w:val="28"/>
          <w:szCs w:val="28"/>
        </w:rPr>
        <w:t xml:space="preserve"> в 2016 году осуществляют свою деятел</w:t>
      </w:r>
      <w:r w:rsidRPr="00526783">
        <w:rPr>
          <w:rFonts w:ascii="Times New Roman" w:hAnsi="Times New Roman"/>
          <w:sz w:val="28"/>
          <w:szCs w:val="28"/>
        </w:rPr>
        <w:t>ь</w:t>
      </w:r>
      <w:r w:rsidRPr="00526783">
        <w:rPr>
          <w:rFonts w:ascii="Times New Roman" w:hAnsi="Times New Roman"/>
          <w:sz w:val="28"/>
          <w:szCs w:val="28"/>
        </w:rPr>
        <w:t>ность 2 крупных ОАО «</w:t>
      </w:r>
      <w:proofErr w:type="spellStart"/>
      <w:r w:rsidRPr="00526783">
        <w:rPr>
          <w:rFonts w:ascii="Times New Roman" w:hAnsi="Times New Roman"/>
          <w:sz w:val="28"/>
          <w:szCs w:val="28"/>
        </w:rPr>
        <w:t>Тимашевское</w:t>
      </w:r>
      <w:proofErr w:type="spellEnd"/>
      <w:r w:rsidRPr="00526783">
        <w:rPr>
          <w:rFonts w:ascii="Times New Roman" w:hAnsi="Times New Roman"/>
          <w:sz w:val="28"/>
          <w:szCs w:val="28"/>
        </w:rPr>
        <w:t xml:space="preserve"> ДРСУ» </w:t>
      </w:r>
      <w:proofErr w:type="gramStart"/>
      <w:r w:rsidRPr="00526783">
        <w:rPr>
          <w:rFonts w:ascii="Times New Roman" w:hAnsi="Times New Roman"/>
          <w:sz w:val="28"/>
          <w:szCs w:val="28"/>
        </w:rPr>
        <w:t>и ООО</w:t>
      </w:r>
      <w:proofErr w:type="gramEnd"/>
      <w:r w:rsidRPr="00526783">
        <w:rPr>
          <w:rFonts w:ascii="Times New Roman" w:hAnsi="Times New Roman"/>
          <w:sz w:val="28"/>
          <w:szCs w:val="28"/>
        </w:rPr>
        <w:t xml:space="preserve"> «Партнер» (основной вид деятельности строительство, однако фактически организация занимается усл</w:t>
      </w:r>
      <w:r w:rsidRPr="00526783">
        <w:rPr>
          <w:rFonts w:ascii="Times New Roman" w:hAnsi="Times New Roman"/>
          <w:sz w:val="28"/>
          <w:szCs w:val="28"/>
        </w:rPr>
        <w:t>у</w:t>
      </w:r>
      <w:r w:rsidRPr="00526783">
        <w:rPr>
          <w:rFonts w:ascii="Times New Roman" w:hAnsi="Times New Roman"/>
          <w:sz w:val="28"/>
          <w:szCs w:val="28"/>
        </w:rPr>
        <w:t>гами по подаче воды населению), 1 среднее ООО «Монтажник» и 23 малых предприятия.</w:t>
      </w:r>
    </w:p>
    <w:p w:rsidR="00526783" w:rsidRPr="00F05DFA" w:rsidRDefault="00F05DFA" w:rsidP="00526783">
      <w:pPr>
        <w:pStyle w:val="af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DFA">
        <w:rPr>
          <w:rFonts w:ascii="Times New Roman" w:hAnsi="Times New Roman"/>
          <w:sz w:val="28"/>
          <w:szCs w:val="28"/>
        </w:rPr>
        <w:t xml:space="preserve"> В 2014 году о</w:t>
      </w:r>
      <w:r w:rsidR="00526783" w:rsidRPr="00F05DFA">
        <w:rPr>
          <w:rFonts w:ascii="Times New Roman" w:hAnsi="Times New Roman"/>
          <w:sz w:val="28"/>
          <w:szCs w:val="28"/>
        </w:rPr>
        <w:t>бъем строитель</w:t>
      </w:r>
      <w:r w:rsidRPr="00F05DFA">
        <w:rPr>
          <w:rFonts w:ascii="Times New Roman" w:hAnsi="Times New Roman"/>
          <w:sz w:val="28"/>
          <w:szCs w:val="28"/>
        </w:rPr>
        <w:t xml:space="preserve">ных работ, </w:t>
      </w:r>
      <w:r w:rsidR="00526783" w:rsidRPr="00F05DFA">
        <w:rPr>
          <w:rFonts w:ascii="Times New Roman" w:hAnsi="Times New Roman"/>
          <w:sz w:val="28"/>
          <w:szCs w:val="28"/>
        </w:rPr>
        <w:t xml:space="preserve">выполненных по договорам строительного подряда крупными </w:t>
      </w:r>
      <w:r w:rsidRPr="00F05DFA">
        <w:rPr>
          <w:rFonts w:ascii="Times New Roman" w:hAnsi="Times New Roman"/>
          <w:sz w:val="28"/>
          <w:szCs w:val="28"/>
        </w:rPr>
        <w:t xml:space="preserve"> и средними </w:t>
      </w:r>
      <w:r w:rsidR="00526783" w:rsidRPr="00F05DFA">
        <w:rPr>
          <w:rFonts w:ascii="Times New Roman" w:hAnsi="Times New Roman"/>
          <w:sz w:val="28"/>
          <w:szCs w:val="28"/>
        </w:rPr>
        <w:t>организациями, составил 1,542 млрд. рублей,</w:t>
      </w:r>
    </w:p>
    <w:p w:rsidR="00F05DFA" w:rsidRPr="00F05DFA" w:rsidRDefault="00F05DFA" w:rsidP="005267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DFA">
        <w:rPr>
          <w:rFonts w:ascii="Times New Roman" w:hAnsi="Times New Roman"/>
          <w:sz w:val="28"/>
          <w:szCs w:val="28"/>
        </w:rPr>
        <w:t xml:space="preserve"> В 2015 году о</w:t>
      </w:r>
      <w:r w:rsidR="00526783" w:rsidRPr="00F05DFA">
        <w:rPr>
          <w:rFonts w:ascii="Times New Roman" w:hAnsi="Times New Roman"/>
          <w:sz w:val="28"/>
          <w:szCs w:val="28"/>
        </w:rPr>
        <w:t>бъем строительных работ</w:t>
      </w:r>
      <w:r w:rsidRPr="00F05DFA">
        <w:rPr>
          <w:rFonts w:ascii="Times New Roman" w:hAnsi="Times New Roman"/>
          <w:sz w:val="28"/>
          <w:szCs w:val="28"/>
        </w:rPr>
        <w:t>,</w:t>
      </w:r>
      <w:r w:rsidR="00526783" w:rsidRPr="00F05DFA">
        <w:rPr>
          <w:rFonts w:ascii="Times New Roman" w:hAnsi="Times New Roman"/>
          <w:sz w:val="28"/>
          <w:szCs w:val="28"/>
        </w:rPr>
        <w:t xml:space="preserve"> выполненных по договорам строительного подряда крупными</w:t>
      </w:r>
      <w:r w:rsidRPr="00F05DFA">
        <w:rPr>
          <w:rFonts w:ascii="Times New Roman" w:hAnsi="Times New Roman"/>
          <w:sz w:val="28"/>
          <w:szCs w:val="28"/>
        </w:rPr>
        <w:t xml:space="preserve"> и средними</w:t>
      </w:r>
      <w:r w:rsidR="00526783" w:rsidRPr="00F05DFA">
        <w:rPr>
          <w:rFonts w:ascii="Times New Roman" w:hAnsi="Times New Roman"/>
          <w:sz w:val="28"/>
          <w:szCs w:val="28"/>
        </w:rPr>
        <w:t xml:space="preserve"> организациями, составил 1,629 млрд. руб</w:t>
      </w:r>
      <w:r w:rsidRPr="00F05DFA">
        <w:rPr>
          <w:rFonts w:ascii="Times New Roman" w:hAnsi="Times New Roman"/>
          <w:sz w:val="28"/>
          <w:szCs w:val="28"/>
        </w:rPr>
        <w:t>лей</w:t>
      </w:r>
      <w:r w:rsidR="00526783" w:rsidRPr="00F05DFA">
        <w:rPr>
          <w:rFonts w:ascii="Times New Roman" w:hAnsi="Times New Roman"/>
          <w:sz w:val="28"/>
          <w:szCs w:val="28"/>
        </w:rPr>
        <w:t xml:space="preserve">. </w:t>
      </w:r>
    </w:p>
    <w:p w:rsidR="00F05DFA" w:rsidRPr="00F05DFA" w:rsidRDefault="00F05DFA" w:rsidP="00F05D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DFA">
        <w:rPr>
          <w:rFonts w:ascii="Times New Roman" w:hAnsi="Times New Roman"/>
          <w:sz w:val="28"/>
          <w:szCs w:val="28"/>
        </w:rPr>
        <w:t xml:space="preserve">В 2016 году </w:t>
      </w:r>
      <w:r w:rsidR="00526783" w:rsidRPr="00F05DFA">
        <w:rPr>
          <w:rFonts w:ascii="Times New Roman" w:hAnsi="Times New Roman"/>
          <w:sz w:val="28"/>
          <w:szCs w:val="28"/>
        </w:rPr>
        <w:t>общий объем строительных работ, выполненных по догов</w:t>
      </w:r>
      <w:r w:rsidR="00526783" w:rsidRPr="00F05DFA">
        <w:rPr>
          <w:rFonts w:ascii="Times New Roman" w:hAnsi="Times New Roman"/>
          <w:sz w:val="28"/>
          <w:szCs w:val="28"/>
        </w:rPr>
        <w:t>о</w:t>
      </w:r>
      <w:r w:rsidR="00526783" w:rsidRPr="00F05DFA">
        <w:rPr>
          <w:rFonts w:ascii="Times New Roman" w:hAnsi="Times New Roman"/>
          <w:sz w:val="28"/>
          <w:szCs w:val="28"/>
        </w:rPr>
        <w:t xml:space="preserve">рам строительного подряда </w:t>
      </w:r>
      <w:r w:rsidRPr="00F05DFA">
        <w:rPr>
          <w:rFonts w:ascii="Times New Roman" w:hAnsi="Times New Roman"/>
          <w:sz w:val="28"/>
          <w:szCs w:val="28"/>
        </w:rPr>
        <w:t xml:space="preserve"> крупными и средними </w:t>
      </w:r>
      <w:r w:rsidR="00526783" w:rsidRPr="00F05DFA">
        <w:rPr>
          <w:rFonts w:ascii="Times New Roman" w:hAnsi="Times New Roman"/>
          <w:sz w:val="28"/>
          <w:szCs w:val="28"/>
        </w:rPr>
        <w:t xml:space="preserve">организациями, в </w:t>
      </w:r>
      <w:proofErr w:type="spellStart"/>
      <w:r w:rsidR="00526783" w:rsidRPr="00F05DFA">
        <w:rPr>
          <w:rFonts w:ascii="Times New Roman" w:hAnsi="Times New Roman"/>
          <w:sz w:val="28"/>
          <w:szCs w:val="28"/>
        </w:rPr>
        <w:t>т.ч</w:t>
      </w:r>
      <w:proofErr w:type="spellEnd"/>
      <w:r w:rsidR="00526783" w:rsidRPr="00F05DFA">
        <w:rPr>
          <w:rFonts w:ascii="Times New Roman" w:hAnsi="Times New Roman"/>
          <w:sz w:val="28"/>
          <w:szCs w:val="28"/>
        </w:rPr>
        <w:t>. кра</w:t>
      </w:r>
      <w:r w:rsidR="00526783" w:rsidRPr="00F05DFA">
        <w:rPr>
          <w:rFonts w:ascii="Times New Roman" w:hAnsi="Times New Roman"/>
          <w:sz w:val="28"/>
          <w:szCs w:val="28"/>
        </w:rPr>
        <w:t>е</w:t>
      </w:r>
      <w:r w:rsidR="00526783" w:rsidRPr="00F05DFA">
        <w:rPr>
          <w:rFonts w:ascii="Times New Roman" w:hAnsi="Times New Roman"/>
          <w:sz w:val="28"/>
          <w:szCs w:val="28"/>
        </w:rPr>
        <w:t>выми со</w:t>
      </w:r>
      <w:r>
        <w:rPr>
          <w:rFonts w:ascii="Times New Roman" w:hAnsi="Times New Roman"/>
          <w:sz w:val="28"/>
          <w:szCs w:val="28"/>
        </w:rPr>
        <w:t>ставит 22,2 млн. рублей</w:t>
      </w:r>
      <w:r w:rsidRPr="00F05DFA">
        <w:rPr>
          <w:rFonts w:ascii="Times New Roman" w:hAnsi="Times New Roman"/>
          <w:sz w:val="28"/>
          <w:szCs w:val="28"/>
        </w:rPr>
        <w:t>, что ниже показателя 2015 года в 73 раза. Сн</w:t>
      </w:r>
      <w:r w:rsidRPr="00F05DFA">
        <w:rPr>
          <w:rFonts w:ascii="Times New Roman" w:hAnsi="Times New Roman"/>
          <w:sz w:val="28"/>
          <w:szCs w:val="28"/>
        </w:rPr>
        <w:t>и</w:t>
      </w:r>
      <w:r w:rsidRPr="00F05DFA">
        <w:rPr>
          <w:rFonts w:ascii="Times New Roman" w:hAnsi="Times New Roman"/>
          <w:sz w:val="28"/>
          <w:szCs w:val="28"/>
        </w:rPr>
        <w:t>жение объемов связано с тем, что в 2015 году на территории района  осущест</w:t>
      </w:r>
      <w:r w:rsidRPr="00F05DFA">
        <w:rPr>
          <w:rFonts w:ascii="Times New Roman" w:hAnsi="Times New Roman"/>
          <w:sz w:val="28"/>
          <w:szCs w:val="28"/>
        </w:rPr>
        <w:t>в</w:t>
      </w:r>
      <w:r w:rsidRPr="00F05DFA">
        <w:rPr>
          <w:rFonts w:ascii="Times New Roman" w:hAnsi="Times New Roman"/>
          <w:sz w:val="28"/>
          <w:szCs w:val="28"/>
        </w:rPr>
        <w:t xml:space="preserve">ляло деятельность обособленное подразделение ООО «Аргус </w:t>
      </w:r>
      <w:proofErr w:type="spellStart"/>
      <w:r w:rsidRPr="00F05DFA">
        <w:rPr>
          <w:rFonts w:ascii="Times New Roman" w:hAnsi="Times New Roman"/>
          <w:sz w:val="28"/>
          <w:szCs w:val="28"/>
        </w:rPr>
        <w:t>Пайплайн</w:t>
      </w:r>
      <w:proofErr w:type="spellEnd"/>
      <w:r w:rsidRPr="00F05DFA">
        <w:rPr>
          <w:rFonts w:ascii="Times New Roman" w:hAnsi="Times New Roman"/>
          <w:sz w:val="28"/>
          <w:szCs w:val="28"/>
        </w:rPr>
        <w:t xml:space="preserve"> Се</w:t>
      </w:r>
      <w:r w:rsidRPr="00F05DFA">
        <w:rPr>
          <w:rFonts w:ascii="Times New Roman" w:hAnsi="Times New Roman"/>
          <w:sz w:val="28"/>
          <w:szCs w:val="28"/>
        </w:rPr>
        <w:t>р</w:t>
      </w:r>
      <w:r w:rsidRPr="00F05DFA">
        <w:rPr>
          <w:rFonts w:ascii="Times New Roman" w:hAnsi="Times New Roman"/>
          <w:sz w:val="28"/>
          <w:szCs w:val="28"/>
        </w:rPr>
        <w:t>вис-Север»; в 2016 году данное предприятие прекратило деятельность на те</w:t>
      </w:r>
      <w:r w:rsidRPr="00F05DFA">
        <w:rPr>
          <w:rFonts w:ascii="Times New Roman" w:hAnsi="Times New Roman"/>
          <w:sz w:val="28"/>
          <w:szCs w:val="28"/>
        </w:rPr>
        <w:t>р</w:t>
      </w:r>
      <w:r w:rsidRPr="00F05DFA">
        <w:rPr>
          <w:rFonts w:ascii="Times New Roman" w:hAnsi="Times New Roman"/>
          <w:sz w:val="28"/>
          <w:szCs w:val="28"/>
        </w:rPr>
        <w:t xml:space="preserve">ритории района. </w:t>
      </w:r>
    </w:p>
    <w:p w:rsidR="00C11AFB" w:rsidRPr="00A74CF4" w:rsidRDefault="00ED7518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аграрном секторе экономики  района к</w:t>
      </w:r>
      <w:r w:rsidR="00C11AFB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оличество хозяйствующих суб</w:t>
      </w:r>
      <w:r w:rsidR="00C11AFB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="00C11AFB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за последние три года остается неизменным и составляет 27 хозяйств. К ним относится сельскохозяйственные предприятия и предприятия пищевой и перерабатывающей промышленности. К наиболее крупным относятся 5 пре</w:t>
      </w:r>
      <w:r w:rsidR="00C11AFB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11AFB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приятий сельскохозяйственной  отрасли, это такие как ОАО САФ «Русь», ООО АФ «Хуторок», АО ХК АФ «Россия», ОАО ТК «Прогресс», ООО «Кубанские консервы» и 6 предприятий пищевой и промышленной отрасли, это такие как ООО «Нестле Кубань», Тимашевский молочный комбинат ОАО ВБД, ОАО Кондитерский к-т «Кубань», ООО «Хлебокомбинат Тимашевского райпо», ПАО «Хлеб Кубани», ООО «Тимашевский сахарный завод». 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субъектов среднего бизнеса </w:t>
      </w:r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аграрного сектора экономики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последние три года также осталось неизменной и составляет 16 хозяйств. К ним относится сельскохозяйственные предприятия и предприятия пищевой и п</w:t>
      </w:r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</w:t>
      </w:r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рабатывающей промышленности: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 ППФ «Тимашевская», ООО «Экватор Агро», ООО «Садовод», ЗАО САФ «Искра», ООО «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КубРос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ЗАО «Колос», ООО «Агат-7», ЗАО АФ «Заря», ООО «Авен-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Езер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ООО «Нива», ЗАО «Пр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микс», ООО «Тимашевский белок», ООО «Медведовский ЗПП, ООО «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Сахиби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ООО «</w:t>
      </w:r>
      <w:proofErr w:type="spellStart"/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Биотехагро</w:t>
      </w:r>
      <w:proofErr w:type="spellEnd"/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ЗАО «</w:t>
      </w:r>
      <w:proofErr w:type="spellStart"/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Тимашевец</w:t>
      </w:r>
      <w:proofErr w:type="spellEnd"/>
      <w:r w:rsidR="00CF6E5F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в отрасли сельского хозяйства  осуществляют свою деятельность  крестьянские (фермерские) хозяйства  и индивидуальные предприниматели 2014 год – 287, 2015 год – 294, 2016 год – 319, темпы роста соответственно 2,4% и 8,5%,  личные подсобные хозяйства 2014 год – 20237, 2015 год – 20244, 2016 год – 20253,  рост незначительный - соответственно 7 и 9 хозяйств.</w:t>
      </w:r>
    </w:p>
    <w:p w:rsidR="00C11AFB" w:rsidRPr="00A74CF4" w:rsidRDefault="00C11AFB" w:rsidP="00A74CF4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данных показателей виден рост количества хозяйств малых форм развития за последние три года - крестьянских (фермерских) хозяйств и индивидуальных предпринимателей на 11%, в личных подсобных хозяйствах рост незначительный. Достигнутые положительные тенденции развития  об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словлены увеличением мер государственной поддержки, направленных на ра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витие малых форм хозяйствования в агропромышленном комплексе, а также</w:t>
      </w:r>
      <w:r w:rsidR="00A74CF4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введенным продуктовым эмбарго.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работников, занятых на предприятиях малого бизнеса в 2014-20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16гг,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снизилась на 6,5% (с 551 чел. в 2014 году до 515 чел. в 2016 году). 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работников, занятых в крестьянских (фермерских) хозяйствах и индивидуальных предпринимателей за период 2014-2016гг, увеличился на 5% (с 800 чел. в 2014 году до 815 чел. в 2016 году). 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Динамика показателей численности занятых в малом бизнесе зависит от объемов производства и соответствующего привлечения дополнительной чи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ленности работников в период уборки урожая сельскохозяйственной продукции  и  её дальнейшего  использования в качестве сырья в цехах переработки.</w:t>
      </w:r>
    </w:p>
    <w:p w:rsidR="00C11AFB" w:rsidRPr="00A74CF4" w:rsidRDefault="00C11AFB" w:rsidP="00C11AFB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Важным фактором высвобождения численности является  рост прои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дительности труда на основе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уровня механизации в сельск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охозя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D7518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ственной отрасли за счет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приобретения 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высокопро-изводительной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техники (тракторов, сельхозмашин, комбайнов нового поколения). </w:t>
      </w:r>
    </w:p>
    <w:p w:rsidR="00BA0322" w:rsidRPr="00A74CF4" w:rsidRDefault="00C11AFB" w:rsidP="00ED7518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также обусловлено увеличением мер государственной поддержки, направленных на развитие малых форм хозяйствования в агропромышленном комплексе, а также введенным продуктовым эмбарго.</w:t>
      </w:r>
    </w:p>
    <w:p w:rsidR="00BA0322" w:rsidRPr="00A74CF4" w:rsidRDefault="00BA0322" w:rsidP="00BA032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Тимашевский район ос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ществляют свою деятельность 5 крупных и 18 малых предприятий жилищно-коммунального хозяйства. К крупным относятся следующие предприятия: ООО «Коммунальник», филиал АО «АТЭК» «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Тимашевские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тепловые сети», АО «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Тимашевскрайгаз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АО «НЭСК-электросети», </w:t>
      </w:r>
      <w:proofErr w:type="spellStart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Тимашевские</w:t>
      </w:r>
      <w:proofErr w:type="spellEnd"/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электрические с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филиала ПАО «Кубаньэнерго».</w:t>
      </w:r>
    </w:p>
    <w:p w:rsidR="00230CC8" w:rsidRPr="00A74CF4" w:rsidRDefault="00230CC8" w:rsidP="0023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На территории</w:t>
      </w:r>
      <w:r w:rsidRPr="00A74CF4">
        <w:rPr>
          <w:rFonts w:ascii="Times New Roman" w:hAnsi="Times New Roman"/>
          <w:b/>
          <w:sz w:val="28"/>
          <w:szCs w:val="28"/>
        </w:rPr>
        <w:t xml:space="preserve"> </w:t>
      </w:r>
      <w:r w:rsidRPr="00A74CF4">
        <w:rPr>
          <w:rFonts w:ascii="Times New Roman" w:hAnsi="Times New Roman"/>
          <w:sz w:val="28"/>
          <w:szCs w:val="28"/>
        </w:rPr>
        <w:t>муниципального образования Тимашевский район оказ</w:t>
      </w:r>
      <w:r w:rsidRPr="00A74CF4">
        <w:rPr>
          <w:rFonts w:ascii="Times New Roman" w:hAnsi="Times New Roman"/>
          <w:sz w:val="28"/>
          <w:szCs w:val="28"/>
        </w:rPr>
        <w:t>ы</w:t>
      </w:r>
      <w:r w:rsidRPr="00A74CF4">
        <w:rPr>
          <w:rFonts w:ascii="Times New Roman" w:hAnsi="Times New Roman"/>
          <w:sz w:val="28"/>
          <w:szCs w:val="28"/>
        </w:rPr>
        <w:t xml:space="preserve">вают услуги на рынке естественных монополий следующие предприятия. </w:t>
      </w:r>
    </w:p>
    <w:p w:rsidR="00230CC8" w:rsidRPr="00A74CF4" w:rsidRDefault="00230CC8" w:rsidP="0023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b/>
          <w:i/>
          <w:sz w:val="28"/>
          <w:szCs w:val="28"/>
        </w:rPr>
        <w:t>Водоснабжение и водоотведение</w:t>
      </w:r>
      <w:r w:rsidR="005D5F93" w:rsidRPr="00A74CF4">
        <w:rPr>
          <w:rFonts w:ascii="Times New Roman" w:hAnsi="Times New Roman"/>
          <w:i/>
          <w:sz w:val="28"/>
          <w:szCs w:val="28"/>
        </w:rPr>
        <w:t xml:space="preserve"> - </w:t>
      </w:r>
      <w:r w:rsidRPr="00A74CF4">
        <w:rPr>
          <w:rFonts w:ascii="Times New Roman" w:hAnsi="Times New Roman"/>
          <w:sz w:val="28"/>
          <w:szCs w:val="28"/>
        </w:rPr>
        <w:t>14 предприятий, оказывающих усл</w:t>
      </w:r>
      <w:r w:rsidRPr="00A74CF4">
        <w:rPr>
          <w:rFonts w:ascii="Times New Roman" w:hAnsi="Times New Roman"/>
          <w:sz w:val="28"/>
          <w:szCs w:val="28"/>
        </w:rPr>
        <w:t>у</w:t>
      </w:r>
      <w:r w:rsidRPr="00A74CF4">
        <w:rPr>
          <w:rFonts w:ascii="Times New Roman" w:hAnsi="Times New Roman"/>
          <w:sz w:val="28"/>
          <w:szCs w:val="28"/>
        </w:rPr>
        <w:t>ги водоснабжения, водоотведения: ООО «Коммунальник», ООО «Водоснабж</w:t>
      </w:r>
      <w:r w:rsidRPr="00A74CF4">
        <w:rPr>
          <w:rFonts w:ascii="Times New Roman" w:hAnsi="Times New Roman"/>
          <w:sz w:val="28"/>
          <w:szCs w:val="28"/>
        </w:rPr>
        <w:t>е</w:t>
      </w:r>
      <w:r w:rsidRPr="00A74CF4">
        <w:rPr>
          <w:rFonts w:ascii="Times New Roman" w:hAnsi="Times New Roman"/>
          <w:sz w:val="28"/>
          <w:szCs w:val="28"/>
        </w:rPr>
        <w:t>ние», ООО «Нимфа», МУП ЖКХ «Кубанец», ООО «Наш хутор», МУП «Ун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версал плюс», ООО «</w:t>
      </w:r>
      <w:proofErr w:type="spellStart"/>
      <w:r w:rsidRPr="00A74CF4">
        <w:rPr>
          <w:rFonts w:ascii="Times New Roman" w:hAnsi="Times New Roman"/>
          <w:sz w:val="28"/>
          <w:szCs w:val="28"/>
        </w:rPr>
        <w:t>Техкомбытсервис</w:t>
      </w:r>
      <w:proofErr w:type="spellEnd"/>
      <w:r w:rsidRPr="00A74CF4">
        <w:rPr>
          <w:rFonts w:ascii="Times New Roman" w:hAnsi="Times New Roman"/>
          <w:sz w:val="28"/>
          <w:szCs w:val="28"/>
        </w:rPr>
        <w:t>», ОАО «</w:t>
      </w:r>
      <w:proofErr w:type="spellStart"/>
      <w:r w:rsidRPr="00A74CF4">
        <w:rPr>
          <w:rFonts w:ascii="Times New Roman" w:hAnsi="Times New Roman"/>
          <w:sz w:val="28"/>
          <w:szCs w:val="28"/>
        </w:rPr>
        <w:t>Медведовский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мясокомбинат», МУП ЖКХ «Незаймановское», ООО «Партнер», МУП ЖКХ «Поселковое», С</w:t>
      </w:r>
      <w:r w:rsidRPr="00A74CF4">
        <w:rPr>
          <w:rFonts w:ascii="Times New Roman" w:hAnsi="Times New Roman"/>
          <w:sz w:val="28"/>
          <w:szCs w:val="28"/>
        </w:rPr>
        <w:t>е</w:t>
      </w:r>
      <w:r w:rsidRPr="00A74CF4">
        <w:rPr>
          <w:rFonts w:ascii="Times New Roman" w:hAnsi="Times New Roman"/>
          <w:sz w:val="28"/>
          <w:szCs w:val="28"/>
        </w:rPr>
        <w:t xml:space="preserve">веро – Кавказская дирекция по </w:t>
      </w:r>
      <w:proofErr w:type="spellStart"/>
      <w:r w:rsidRPr="00A74CF4">
        <w:rPr>
          <w:rFonts w:ascii="Times New Roman" w:hAnsi="Times New Roman"/>
          <w:sz w:val="28"/>
          <w:szCs w:val="28"/>
        </w:rPr>
        <w:t>тепловодоснабжению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– структурное подразд</w:t>
      </w:r>
      <w:r w:rsidRPr="00A74CF4">
        <w:rPr>
          <w:rFonts w:ascii="Times New Roman" w:hAnsi="Times New Roman"/>
          <w:sz w:val="28"/>
          <w:szCs w:val="28"/>
        </w:rPr>
        <w:t>е</w:t>
      </w:r>
      <w:r w:rsidRPr="00A74CF4">
        <w:rPr>
          <w:rFonts w:ascii="Times New Roman" w:hAnsi="Times New Roman"/>
          <w:sz w:val="28"/>
          <w:szCs w:val="28"/>
        </w:rPr>
        <w:t xml:space="preserve">ление Центральной дирекции по </w:t>
      </w:r>
      <w:proofErr w:type="spellStart"/>
      <w:r w:rsidRPr="00A74CF4">
        <w:rPr>
          <w:rFonts w:ascii="Times New Roman" w:hAnsi="Times New Roman"/>
          <w:sz w:val="28"/>
          <w:szCs w:val="28"/>
        </w:rPr>
        <w:t>тепловодоснабжению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– филиал ОАО «Росси</w:t>
      </w:r>
      <w:r w:rsidRPr="00A74CF4">
        <w:rPr>
          <w:rFonts w:ascii="Times New Roman" w:hAnsi="Times New Roman"/>
          <w:sz w:val="28"/>
          <w:szCs w:val="28"/>
        </w:rPr>
        <w:t>й</w:t>
      </w:r>
      <w:r w:rsidRPr="00A74CF4">
        <w:rPr>
          <w:rFonts w:ascii="Times New Roman" w:hAnsi="Times New Roman"/>
          <w:sz w:val="28"/>
          <w:szCs w:val="28"/>
        </w:rPr>
        <w:t>ские железные дороги», ОАО Кондитерский комбинат «Кубань», ОАО «Из</w:t>
      </w:r>
      <w:r w:rsidRPr="00A74CF4">
        <w:rPr>
          <w:rFonts w:ascii="Times New Roman" w:hAnsi="Times New Roman"/>
          <w:sz w:val="28"/>
          <w:szCs w:val="28"/>
        </w:rPr>
        <w:t>у</w:t>
      </w:r>
      <w:r w:rsidRPr="00A74CF4">
        <w:rPr>
          <w:rFonts w:ascii="Times New Roman" w:hAnsi="Times New Roman"/>
          <w:sz w:val="28"/>
          <w:szCs w:val="28"/>
        </w:rPr>
        <w:t>мруд»;</w:t>
      </w:r>
    </w:p>
    <w:p w:rsidR="00230CC8" w:rsidRPr="00A74CF4" w:rsidRDefault="00230CC8" w:rsidP="00230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b/>
          <w:i/>
          <w:sz w:val="28"/>
          <w:szCs w:val="28"/>
        </w:rPr>
        <w:t>Электроснабжение</w:t>
      </w:r>
      <w:r w:rsidR="005D5F93" w:rsidRPr="00A74CF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74CF4">
        <w:rPr>
          <w:rFonts w:ascii="Times New Roman" w:hAnsi="Times New Roman"/>
          <w:sz w:val="28"/>
          <w:szCs w:val="28"/>
        </w:rPr>
        <w:t xml:space="preserve"> филиал ОАО «Кубаньэнерго», Тимашевское г</w:t>
      </w:r>
      <w:r w:rsidRPr="00A74CF4">
        <w:rPr>
          <w:rFonts w:ascii="Times New Roman" w:hAnsi="Times New Roman"/>
          <w:sz w:val="28"/>
          <w:szCs w:val="28"/>
        </w:rPr>
        <w:t>о</w:t>
      </w:r>
      <w:r w:rsidRPr="00A74CF4">
        <w:rPr>
          <w:rFonts w:ascii="Times New Roman" w:hAnsi="Times New Roman"/>
          <w:sz w:val="28"/>
          <w:szCs w:val="28"/>
        </w:rPr>
        <w:t xml:space="preserve">родское поселение – филиал ОАО «НЭСК» - </w:t>
      </w:r>
      <w:proofErr w:type="spellStart"/>
      <w:r w:rsidRPr="00A74CF4">
        <w:rPr>
          <w:rFonts w:ascii="Times New Roman" w:hAnsi="Times New Roman"/>
          <w:sz w:val="28"/>
          <w:szCs w:val="28"/>
        </w:rPr>
        <w:t>Ти</w:t>
      </w:r>
      <w:r w:rsidR="005D5F93" w:rsidRPr="00A74CF4">
        <w:rPr>
          <w:rFonts w:ascii="Times New Roman" w:hAnsi="Times New Roman"/>
          <w:sz w:val="28"/>
          <w:szCs w:val="28"/>
        </w:rPr>
        <w:t>машевские</w:t>
      </w:r>
      <w:proofErr w:type="spellEnd"/>
      <w:r w:rsidR="005D5F93" w:rsidRPr="00A74CF4">
        <w:rPr>
          <w:rFonts w:ascii="Times New Roman" w:hAnsi="Times New Roman"/>
          <w:sz w:val="28"/>
          <w:szCs w:val="28"/>
        </w:rPr>
        <w:t xml:space="preserve"> городские электр</w:t>
      </w:r>
      <w:r w:rsidR="005D5F93" w:rsidRPr="00A74CF4">
        <w:rPr>
          <w:rFonts w:ascii="Times New Roman" w:hAnsi="Times New Roman"/>
          <w:sz w:val="28"/>
          <w:szCs w:val="28"/>
        </w:rPr>
        <w:t>о</w:t>
      </w:r>
      <w:r w:rsidR="005D5F93" w:rsidRPr="00A74CF4">
        <w:rPr>
          <w:rFonts w:ascii="Times New Roman" w:hAnsi="Times New Roman"/>
          <w:sz w:val="28"/>
          <w:szCs w:val="28"/>
        </w:rPr>
        <w:t>сети;</w:t>
      </w:r>
    </w:p>
    <w:p w:rsidR="00230CC8" w:rsidRPr="00A74CF4" w:rsidRDefault="00230CC8" w:rsidP="005D5F9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hAnsi="Times New Roman"/>
          <w:b/>
          <w:i/>
          <w:sz w:val="28"/>
          <w:szCs w:val="28"/>
        </w:rPr>
        <w:t>Теплоснабжение</w:t>
      </w:r>
      <w:r w:rsidR="005D5F93" w:rsidRPr="00A74CF4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5D5F93" w:rsidRPr="00A74CF4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«АТЭК»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Тимашевские</w:t>
      </w:r>
      <w:proofErr w:type="spellEnd"/>
      <w:r w:rsidR="005D5F93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сети» и ведомственные котельные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CC8" w:rsidRPr="00A74CF4" w:rsidRDefault="00230CC8" w:rsidP="005D5F9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74CF4">
        <w:rPr>
          <w:rFonts w:ascii="Times New Roman" w:hAnsi="Times New Roman"/>
          <w:b/>
          <w:i/>
          <w:sz w:val="28"/>
          <w:szCs w:val="28"/>
        </w:rPr>
        <w:t>Газоснабжение</w:t>
      </w:r>
      <w:r w:rsidR="005D5F93" w:rsidRPr="00A74CF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«Тимашевскрайгаз», которое входит в систему единого оператора по транспортировке природного газа - АО «Газпром газ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Краснодар».</w:t>
      </w:r>
    </w:p>
    <w:p w:rsidR="00BA0322" w:rsidRPr="00A74CF4" w:rsidRDefault="00BA0322" w:rsidP="00BA03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 xml:space="preserve">Основными </w:t>
      </w:r>
      <w:proofErr w:type="spellStart"/>
      <w:r w:rsidRPr="00A74CF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организациями являются:</w:t>
      </w:r>
    </w:p>
    <w:p w:rsidR="00230CC8" w:rsidRPr="00A74CF4" w:rsidRDefault="00BA0322" w:rsidP="00BA0322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Тимашевский участок ООО «Газпром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межрегионгаз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Краснодар» – 100% охват на территории района, филиал АО «АТЭК»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Тимашевские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ти» - 96%, филиал АО «НЭСК»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Тимашевскэнергосбыт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» – 50%,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Тимашевский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 ОАО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Кубаньэнергосб</w:t>
      </w:r>
      <w:r w:rsidR="00636920">
        <w:rPr>
          <w:rFonts w:ascii="Times New Roman" w:eastAsia="Times New Roman" w:hAnsi="Times New Roman"/>
          <w:sz w:val="28"/>
          <w:szCs w:val="28"/>
          <w:lang w:eastAsia="ru-RU"/>
        </w:rPr>
        <w:t>ыт</w:t>
      </w:r>
      <w:proofErr w:type="spellEnd"/>
      <w:r w:rsidR="00636920">
        <w:rPr>
          <w:rFonts w:ascii="Times New Roman" w:eastAsia="Times New Roman" w:hAnsi="Times New Roman"/>
          <w:sz w:val="28"/>
          <w:szCs w:val="28"/>
          <w:lang w:eastAsia="ru-RU"/>
        </w:rPr>
        <w:t xml:space="preserve">» – 50%,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ООО «Коммунальник» - 62%.</w:t>
      </w:r>
    </w:p>
    <w:p w:rsidR="00C11AFB" w:rsidRPr="00A74CF4" w:rsidRDefault="00BA0322" w:rsidP="00741702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Перевозку пассажиров осуществля</w:t>
      </w:r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ю</w:t>
      </w:r>
      <w:r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т </w:t>
      </w:r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три индивидуальных предприним</w:t>
      </w:r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</w:t>
      </w:r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теля: </w:t>
      </w:r>
      <w:r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ИП Кравцов, ИП </w:t>
      </w:r>
      <w:proofErr w:type="spellStart"/>
      <w:r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Коноба</w:t>
      </w:r>
      <w:proofErr w:type="spellEnd"/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ИП </w:t>
      </w:r>
      <w:proofErr w:type="spellStart"/>
      <w:r w:rsidR="00CB5EEB"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Чижмак</w:t>
      </w:r>
      <w:proofErr w:type="spellEnd"/>
      <w:r w:rsidRPr="00A74CF4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</w:p>
    <w:p w:rsidR="00BA0322" w:rsidRPr="00A74CF4" w:rsidRDefault="003A5795" w:rsidP="00BA0322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BA0322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</w:t>
      </w:r>
      <w:r w:rsidR="00CB5EEB" w:rsidRPr="00A74CF4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ют: </w:t>
      </w:r>
      <w:r w:rsidR="00BA0322" w:rsidRPr="00A74CF4">
        <w:rPr>
          <w:rFonts w:ascii="Times New Roman" w:eastAsia="Times New Roman" w:hAnsi="Times New Roman"/>
          <w:sz w:val="28"/>
          <w:szCs w:val="28"/>
          <w:lang w:eastAsia="ru-RU"/>
        </w:rPr>
        <w:t>филиал «Тимашевский почтамт ФГУП Почта России», ПАО «Ростелеком» МРУС.</w:t>
      </w:r>
    </w:p>
    <w:p w:rsidR="003077F8" w:rsidRPr="00A74CF4" w:rsidRDefault="003A5795" w:rsidP="003077F8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районе функционируют 33 муниципальных дошкольных учреждения, в т.ч. в сельской местности -16 садов, в городской местности - 17 садов и 1 нег</w:t>
      </w:r>
      <w:r w:rsidRPr="00A74CF4">
        <w:rPr>
          <w:rFonts w:ascii="Times New Roman" w:hAnsi="Times New Roman"/>
          <w:sz w:val="28"/>
          <w:szCs w:val="28"/>
        </w:rPr>
        <w:t>о</w:t>
      </w:r>
      <w:r w:rsidRPr="00A74CF4">
        <w:rPr>
          <w:rFonts w:ascii="Times New Roman" w:hAnsi="Times New Roman"/>
          <w:sz w:val="28"/>
          <w:szCs w:val="28"/>
        </w:rPr>
        <w:t>судар</w:t>
      </w:r>
      <w:r w:rsidR="001C5929" w:rsidRPr="00A74CF4">
        <w:rPr>
          <w:rFonts w:ascii="Times New Roman" w:hAnsi="Times New Roman"/>
          <w:sz w:val="28"/>
          <w:szCs w:val="28"/>
        </w:rPr>
        <w:t xml:space="preserve">ственный детский сад ОАО «РЖД», действуют </w:t>
      </w:r>
      <w:r w:rsidRPr="00A74CF4">
        <w:rPr>
          <w:rFonts w:ascii="Times New Roman" w:hAnsi="Times New Roman"/>
          <w:sz w:val="28"/>
          <w:szCs w:val="28"/>
        </w:rPr>
        <w:t>5 организаций дополн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тельного образования, одна из них детско-юношеская спортивная школа</w:t>
      </w:r>
      <w:r w:rsidR="001C5929" w:rsidRPr="00A74CF4">
        <w:rPr>
          <w:rFonts w:ascii="Times New Roman" w:hAnsi="Times New Roman"/>
          <w:sz w:val="28"/>
          <w:szCs w:val="28"/>
        </w:rPr>
        <w:t xml:space="preserve">, </w:t>
      </w:r>
      <w:r w:rsidRPr="00A74CF4">
        <w:rPr>
          <w:rFonts w:ascii="Times New Roman" w:hAnsi="Times New Roman"/>
          <w:sz w:val="28"/>
          <w:szCs w:val="28"/>
        </w:rPr>
        <w:t>заг</w:t>
      </w:r>
      <w:r w:rsidRPr="00A74CF4">
        <w:rPr>
          <w:rFonts w:ascii="Times New Roman" w:hAnsi="Times New Roman"/>
          <w:sz w:val="28"/>
          <w:szCs w:val="28"/>
        </w:rPr>
        <w:t>о</w:t>
      </w:r>
      <w:r w:rsidRPr="00A74CF4">
        <w:rPr>
          <w:rFonts w:ascii="Times New Roman" w:hAnsi="Times New Roman"/>
          <w:sz w:val="28"/>
          <w:szCs w:val="28"/>
        </w:rPr>
        <w:t>родный стационарный лагерь отдыха и оздоровления «Золотой колос»</w:t>
      </w:r>
      <w:r w:rsidR="001C5929" w:rsidRPr="00A74CF4">
        <w:rPr>
          <w:rFonts w:ascii="Times New Roman" w:hAnsi="Times New Roman"/>
          <w:sz w:val="28"/>
          <w:szCs w:val="28"/>
        </w:rPr>
        <w:t xml:space="preserve">, </w:t>
      </w:r>
      <w:r w:rsidRPr="00A74CF4">
        <w:rPr>
          <w:rFonts w:ascii="Times New Roman" w:hAnsi="Times New Roman"/>
          <w:sz w:val="28"/>
          <w:szCs w:val="20"/>
          <w:lang w:bidi="en-US"/>
        </w:rPr>
        <w:t>центр психолого-м</w:t>
      </w:r>
      <w:r w:rsidR="003077F8" w:rsidRPr="00A74CF4">
        <w:rPr>
          <w:rFonts w:ascii="Times New Roman" w:hAnsi="Times New Roman"/>
          <w:sz w:val="28"/>
          <w:szCs w:val="20"/>
          <w:lang w:bidi="en-US"/>
        </w:rPr>
        <w:t xml:space="preserve">едико-социального сопровождения, </w:t>
      </w:r>
      <w:r w:rsidR="003077F8" w:rsidRPr="00A74CF4">
        <w:rPr>
          <w:rFonts w:ascii="Times New Roman" w:hAnsi="Times New Roman"/>
          <w:sz w:val="28"/>
          <w:szCs w:val="28"/>
        </w:rPr>
        <w:t>9 государственных учрежд</w:t>
      </w:r>
      <w:r w:rsidR="003077F8" w:rsidRPr="00A74CF4">
        <w:rPr>
          <w:rFonts w:ascii="Times New Roman" w:hAnsi="Times New Roman"/>
          <w:sz w:val="28"/>
          <w:szCs w:val="28"/>
        </w:rPr>
        <w:t>е</w:t>
      </w:r>
      <w:r w:rsidR="003077F8" w:rsidRPr="00A74CF4">
        <w:rPr>
          <w:rFonts w:ascii="Times New Roman" w:hAnsi="Times New Roman"/>
          <w:sz w:val="28"/>
          <w:szCs w:val="28"/>
        </w:rPr>
        <w:t>ний социальной направленности, осуществляющих деятельность на территории района.</w:t>
      </w:r>
    </w:p>
    <w:p w:rsidR="003A5795" w:rsidRPr="00A74CF4" w:rsidRDefault="001C5929" w:rsidP="00741702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 xml:space="preserve">В Тимашевском районе рынок медицинских услуг представлен двумя крупными ЛПУ: МБУЗ «Тимашевская ЦРБ», НУЗ «Узловая больница на  </w:t>
      </w:r>
      <w:proofErr w:type="spellStart"/>
      <w:r w:rsidRPr="00A74CF4">
        <w:rPr>
          <w:rFonts w:ascii="Times New Roman" w:hAnsi="Times New Roman"/>
          <w:sz w:val="28"/>
          <w:szCs w:val="28"/>
        </w:rPr>
        <w:t>ст.Тимашевская</w:t>
      </w:r>
      <w:proofErr w:type="spellEnd"/>
      <w:r w:rsidRPr="00A74CF4">
        <w:rPr>
          <w:rFonts w:ascii="Times New Roman" w:hAnsi="Times New Roman"/>
          <w:sz w:val="28"/>
          <w:szCs w:val="28"/>
        </w:rPr>
        <w:t>» ОАО «РЖД», 16 частными медицинскими организациями (юридические лица), и услугами 6 индивидуальных предпринимателей оказ</w:t>
      </w:r>
      <w:r w:rsidRPr="00A74CF4">
        <w:rPr>
          <w:rFonts w:ascii="Times New Roman" w:hAnsi="Times New Roman"/>
          <w:sz w:val="28"/>
          <w:szCs w:val="28"/>
        </w:rPr>
        <w:t>ы</w:t>
      </w:r>
      <w:r w:rsidRPr="00A74CF4">
        <w:rPr>
          <w:rFonts w:ascii="Times New Roman" w:hAnsi="Times New Roman"/>
          <w:sz w:val="28"/>
          <w:szCs w:val="28"/>
        </w:rPr>
        <w:t>вающими населению амбулаторно-поликлинические услуги, услуги по стом</w:t>
      </w:r>
      <w:r w:rsidRPr="00A74CF4">
        <w:rPr>
          <w:rFonts w:ascii="Times New Roman" w:hAnsi="Times New Roman"/>
          <w:sz w:val="28"/>
          <w:szCs w:val="28"/>
        </w:rPr>
        <w:t>а</w:t>
      </w:r>
      <w:r w:rsidRPr="00A74CF4">
        <w:rPr>
          <w:rFonts w:ascii="Times New Roman" w:hAnsi="Times New Roman"/>
          <w:sz w:val="28"/>
          <w:szCs w:val="28"/>
        </w:rPr>
        <w:t>тологии, УЗИ, ЭКГ, проведению МРТ обследования и гемодиализа.</w:t>
      </w:r>
    </w:p>
    <w:p w:rsidR="001C5929" w:rsidRPr="00A74CF4" w:rsidRDefault="001C5929" w:rsidP="001C5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color w:val="000000"/>
          <w:sz w:val="28"/>
          <w:szCs w:val="28"/>
        </w:rPr>
        <w:t>Культура Тимашевского района представлена 49 учреждениями, в том числе:</w:t>
      </w:r>
    </w:p>
    <w:p w:rsidR="001C5929" w:rsidRPr="00A74CF4" w:rsidRDefault="001C5929" w:rsidP="001C5929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color w:val="000000"/>
          <w:sz w:val="28"/>
          <w:szCs w:val="28"/>
        </w:rPr>
        <w:t>-</w:t>
      </w:r>
      <w:r w:rsidRPr="00A74CF4">
        <w:rPr>
          <w:rFonts w:ascii="Times New Roman" w:hAnsi="Times New Roman"/>
          <w:color w:val="000000"/>
          <w:sz w:val="28"/>
          <w:szCs w:val="28"/>
        </w:rPr>
        <w:tab/>
        <w:t>21 клубных учреждений;</w:t>
      </w:r>
    </w:p>
    <w:p w:rsidR="001C5929" w:rsidRPr="00A74CF4" w:rsidRDefault="00A74CF4" w:rsidP="001C5929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- 3 </w:t>
      </w:r>
      <w:r w:rsidR="001C5929" w:rsidRPr="00A74CF4">
        <w:rPr>
          <w:rFonts w:ascii="Times New Roman" w:hAnsi="Times New Roman"/>
          <w:color w:val="000000"/>
          <w:sz w:val="28"/>
          <w:szCs w:val="28"/>
        </w:rPr>
        <w:t>учреждения дополнительного образования (Детская музыкальная школа г</w:t>
      </w:r>
      <w:proofErr w:type="gramStart"/>
      <w:r w:rsidR="001C5929" w:rsidRPr="00A74CF4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1C5929" w:rsidRPr="00A74CF4">
        <w:rPr>
          <w:rFonts w:ascii="Times New Roman" w:hAnsi="Times New Roman"/>
          <w:color w:val="000000"/>
          <w:sz w:val="28"/>
          <w:szCs w:val="28"/>
        </w:rPr>
        <w:t xml:space="preserve">имашевска, детская художественная школа г.Тимашевска, детская школа искусств </w:t>
      </w:r>
      <w:proofErr w:type="spellStart"/>
      <w:r w:rsidR="001C5929" w:rsidRPr="00A74CF4">
        <w:rPr>
          <w:rFonts w:ascii="Times New Roman" w:hAnsi="Times New Roman"/>
          <w:color w:val="000000"/>
          <w:sz w:val="28"/>
          <w:szCs w:val="28"/>
        </w:rPr>
        <w:t>ст.Роговская</w:t>
      </w:r>
      <w:proofErr w:type="spellEnd"/>
      <w:r w:rsidR="001C5929" w:rsidRPr="00A74CF4">
        <w:rPr>
          <w:rFonts w:ascii="Times New Roman" w:hAnsi="Times New Roman"/>
          <w:color w:val="000000"/>
          <w:sz w:val="28"/>
          <w:szCs w:val="28"/>
        </w:rPr>
        <w:t>);</w:t>
      </w:r>
    </w:p>
    <w:p w:rsidR="001C5929" w:rsidRPr="00A74CF4" w:rsidRDefault="00A74CF4" w:rsidP="001C5929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929" w:rsidRPr="00A74CF4">
        <w:rPr>
          <w:rFonts w:ascii="Times New Roman" w:hAnsi="Times New Roman"/>
          <w:sz w:val="28"/>
          <w:szCs w:val="28"/>
        </w:rPr>
        <w:t>22</w:t>
      </w:r>
      <w:r w:rsidR="001C5929" w:rsidRPr="00A74CF4">
        <w:rPr>
          <w:rFonts w:ascii="Times New Roman" w:hAnsi="Times New Roman"/>
          <w:color w:val="000000"/>
          <w:sz w:val="28"/>
          <w:szCs w:val="28"/>
        </w:rPr>
        <w:t xml:space="preserve"> библиотеки;</w:t>
      </w:r>
    </w:p>
    <w:p w:rsidR="001C5929" w:rsidRPr="00A74CF4" w:rsidRDefault="00A74CF4" w:rsidP="001C5929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929" w:rsidRPr="00A74CF4">
        <w:rPr>
          <w:rFonts w:ascii="Times New Roman" w:hAnsi="Times New Roman"/>
          <w:color w:val="000000"/>
          <w:sz w:val="28"/>
          <w:szCs w:val="28"/>
        </w:rPr>
        <w:t>кинотеатр;</w:t>
      </w:r>
    </w:p>
    <w:p w:rsidR="001C5929" w:rsidRPr="00A74CF4" w:rsidRDefault="00A74CF4" w:rsidP="001C5929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929" w:rsidRPr="00A74CF4">
        <w:rPr>
          <w:rFonts w:ascii="Times New Roman" w:hAnsi="Times New Roman"/>
          <w:color w:val="000000"/>
          <w:sz w:val="28"/>
          <w:szCs w:val="28"/>
        </w:rPr>
        <w:t>парк культуры и отдыха;</w:t>
      </w:r>
    </w:p>
    <w:p w:rsidR="001C5929" w:rsidRPr="00A74CF4" w:rsidRDefault="00A74CF4" w:rsidP="001C5929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929" w:rsidRPr="00A74CF4">
        <w:rPr>
          <w:rFonts w:ascii="Times New Roman" w:hAnsi="Times New Roman"/>
          <w:color w:val="000000"/>
          <w:sz w:val="28"/>
          <w:szCs w:val="28"/>
        </w:rPr>
        <w:t>районный организационно-методический центр.</w:t>
      </w:r>
    </w:p>
    <w:p w:rsidR="001C5929" w:rsidRPr="003868F6" w:rsidRDefault="001C5929" w:rsidP="00A74CF4">
      <w:pPr>
        <w:tabs>
          <w:tab w:val="left" w:pos="709"/>
          <w:tab w:val="left" w:pos="993"/>
          <w:tab w:val="left" w:pos="1418"/>
        </w:tabs>
        <w:spacing w:after="0" w:line="240" w:lineRule="auto"/>
        <w:contextualSpacing/>
        <w:jc w:val="both"/>
        <w:rPr>
          <w:sz w:val="28"/>
          <w:szCs w:val="28"/>
          <w:highlight w:val="green"/>
        </w:rPr>
      </w:pPr>
    </w:p>
    <w:p w:rsidR="00C75354" w:rsidRPr="00A74CF4" w:rsidRDefault="00C75354" w:rsidP="00A74CF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>2.2. Инвестиционное положение</w:t>
      </w:r>
    </w:p>
    <w:p w:rsidR="003077F8" w:rsidRPr="00B129C2" w:rsidRDefault="00C75354" w:rsidP="00B129C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77F8" w:rsidRPr="00A74CF4">
        <w:rPr>
          <w:rFonts w:ascii="Times New Roman" w:hAnsi="Times New Roman"/>
          <w:sz w:val="28"/>
          <w:szCs w:val="28"/>
        </w:rPr>
        <w:t>Тимашевский район на сегодняшний день можно назвать одним из самых инвестиционно привлекательных муниципальных образований Краснодарского края. Это подтверждается и общей суммой привлеченных инвестиций, и разн</w:t>
      </w:r>
      <w:r w:rsidR="003077F8" w:rsidRPr="00A74CF4">
        <w:rPr>
          <w:rFonts w:ascii="Times New Roman" w:hAnsi="Times New Roman"/>
          <w:sz w:val="28"/>
          <w:szCs w:val="28"/>
        </w:rPr>
        <w:t>о</w:t>
      </w:r>
      <w:r w:rsidR="003077F8" w:rsidRPr="00A74CF4">
        <w:rPr>
          <w:rFonts w:ascii="Times New Roman" w:hAnsi="Times New Roman"/>
          <w:sz w:val="28"/>
          <w:szCs w:val="28"/>
        </w:rPr>
        <w:t>образием отраслей, в к</w:t>
      </w:r>
      <w:r w:rsidR="00B129C2">
        <w:rPr>
          <w:rFonts w:ascii="Times New Roman" w:hAnsi="Times New Roman"/>
          <w:sz w:val="28"/>
          <w:szCs w:val="28"/>
        </w:rPr>
        <w:t>оторые инвестируют предприятия.</w:t>
      </w:r>
    </w:p>
    <w:p w:rsidR="00C75354" w:rsidRPr="00A74CF4" w:rsidRDefault="00C75354" w:rsidP="003077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417"/>
          <w:sz w:val="28"/>
          <w:szCs w:val="28"/>
          <w:lang w:eastAsia="ru-RU"/>
        </w:rPr>
      </w:pPr>
      <w:proofErr w:type="gram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Тимашевском</w:t>
      </w:r>
      <w:proofErr w:type="gram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успешно работают крупные предприятия: </w:t>
      </w:r>
      <w:proofErr w:type="gram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ООО «Нестле Кубань», АО «Вимм-Билль-Данн», ООО «Кубанские консервы», ОАО Кондитерский комбинат «Кубань», ЗАО «Констанция Кубань», ЗАО «Пэкэ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жинг Кубань», ЗАО «АР Картон» и ООО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Краун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Корк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Кубань».</w:t>
      </w:r>
      <w:proofErr w:type="gramEnd"/>
    </w:p>
    <w:p w:rsidR="00C75354" w:rsidRPr="00A74CF4" w:rsidRDefault="00C75354" w:rsidP="003077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417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Привлечение инвестиций в экономику района является одной из страт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гических задач Тимашевского района. Рост инвестиций напрямую влияет не только на увеличение налоговых поступлений в бюджет, создание новых раб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чих мест, но и на уровень и качество жизни жителей Тимашевского района. К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lastRenderedPageBreak/>
        <w:t>чество инвестиционной среды во многом определяется эффективностью работы муниципального уровня власти на местах: сроки получения разрешения на строительство, подключения к инженерным коммуникациям, оформление з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>мельных участков, доступность инженерной инфраструктуры и др.</w:t>
      </w:r>
    </w:p>
    <w:p w:rsidR="00C75354" w:rsidRPr="00A74CF4" w:rsidRDefault="00C75354" w:rsidP="00C75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сложившейся экономической ситуации, при росте конкуренции пр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имущества  могут быть у тех предприятий, которые рассматривают гибкую возможность технического перевооружения, выпуск новой конкурентоспосо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продукции, активную реализацию инвестиционных проектов. 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111417"/>
          <w:sz w:val="28"/>
          <w:szCs w:val="28"/>
          <w:lang w:eastAsia="ru-RU"/>
        </w:rPr>
        <w:tab/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Объем инвестиций в основной капитал за счет всех источников финанс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рования по крупным и средним предприятиям района за последние три года с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ставил более 6</w:t>
      </w:r>
      <w:r w:rsidR="003077F8" w:rsidRPr="00A74C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77F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руб. Инвестиционные капиталовложения производились в основном в отрасли обрабат</w:t>
      </w:r>
      <w:r w:rsidR="003077F8" w:rsidRPr="00A74CF4">
        <w:rPr>
          <w:rFonts w:ascii="Times New Roman" w:eastAsia="Times New Roman" w:hAnsi="Times New Roman"/>
          <w:sz w:val="28"/>
          <w:szCs w:val="28"/>
          <w:lang w:eastAsia="ru-RU"/>
        </w:rPr>
        <w:t>ывающих производств и в сельское хозяйство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По-прежнему важное значение имеет интеграция предприятий перерабатыв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ющей промышленности с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Это гарантия разв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тия собственной сырьевой зоны для стабильной работы. </w:t>
      </w:r>
    </w:p>
    <w:p w:rsidR="00C75354" w:rsidRPr="00A74CF4" w:rsidRDefault="00C75354" w:rsidP="00C75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2014 году крупными и средними предприятиями района освоено 2</w:t>
      </w:r>
      <w:r w:rsidR="003077F8" w:rsidRPr="00A74C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1мл</w:t>
      </w:r>
      <w:r w:rsidR="003077F8" w:rsidRPr="00A74CF4">
        <w:rPr>
          <w:rFonts w:ascii="Times New Roman" w:eastAsia="Times New Roman" w:hAnsi="Times New Roman"/>
          <w:sz w:val="28"/>
          <w:szCs w:val="28"/>
          <w:lang w:eastAsia="ru-RU"/>
        </w:rPr>
        <w:t>рд</w:t>
      </w:r>
      <w:r w:rsidR="00497C47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По результатам комплексной оценки инвестиционной акти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в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ности по итогам 2014 года район занял 16 место из 44 муниципальных образ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о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ваний.</w:t>
      </w:r>
    </w:p>
    <w:p w:rsidR="00C75354" w:rsidRPr="00A74CF4" w:rsidRDefault="00C75354" w:rsidP="00C753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В 2015 году крупными и средними предприятиями района освоено 2</w:t>
      </w:r>
      <w:r w:rsidR="00497C47" w:rsidRPr="00A74C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97C47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что больше аналогичного периода прошлого года на 827,2 млн. рублей или на 43,7%.</w:t>
      </w:r>
    </w:p>
    <w:p w:rsidR="00C75354" w:rsidRPr="00A74CF4" w:rsidRDefault="00C75354" w:rsidP="00497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По результатам комплексной оценки инвестиционной активности по ит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>о</w:t>
      </w: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 xml:space="preserve">гам 2015 года район занял 19 место из 44 муниципальных образований.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За 9 месяцев 2016 года по данным краевой статистики объем инвестиций в основной капитал (по крупным и средним организациям с учетом территор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альных обособленных подразделений) муниципального образования Тимаше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район составил 1460,0 млн. рублей, что больше аналогичного периода прошлого года на 35,6 млн. рублей или 102,5%. </w:t>
      </w:r>
    </w:p>
    <w:p w:rsidR="00497C47" w:rsidRPr="00A74CF4" w:rsidRDefault="00497C47" w:rsidP="00497C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результатам комплексной оценки инвестиционной активности по ит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гам 9 месяцев 2016 года район занял 24 место из 44 муниципальных образов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ний. 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Увеличили объемы инвестиций в основной капитал за 9 месяцев 2016 г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да следующие предприятия:</w:t>
      </w:r>
    </w:p>
    <w:p w:rsidR="00C75354" w:rsidRPr="00A74CF4" w:rsidRDefault="00C75354" w:rsidP="00C75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«Нестле Кубань» - </w:t>
      </w:r>
      <w:r w:rsidR="00497C47" w:rsidRPr="00A74CF4">
        <w:rPr>
          <w:rFonts w:ascii="Times New Roman" w:eastAsia="Times New Roman" w:hAnsi="Times New Roman"/>
          <w:sz w:val="28"/>
          <w:szCs w:val="28"/>
          <w:lang w:eastAsia="ru-RU"/>
        </w:rPr>
        <w:t>на 128 млн. руб. или на 76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% - 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еконструкция корпуса экстракции фабрики полного цикла по производству натурального к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фе под торговой маркой «</w:t>
      </w:r>
      <w:r w:rsidRPr="00A74CF4">
        <w:rPr>
          <w:rFonts w:ascii="Times New Roman" w:eastAsia="Times New Roman" w:hAnsi="Times New Roman"/>
          <w:sz w:val="28"/>
          <w:szCs w:val="28"/>
          <w:lang w:val="en-US" w:eastAsia="ru-RU"/>
        </w:rPr>
        <w:t>Nescafe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ОАО Кондитерский комбинат «Кубань» - на 6,4 млн. руб. или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17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Продолжены инженерные и технологические инновации в мучном прои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водстве, заказаны на условиях договора лизинга новые автоматические весы-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чиквейеры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 способствующие обеспечению безопасного процесса производства печенья. Проведена автоматизация участка подъема и подачи в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артезианской воды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ООО «Тимашевский сахарный завод» - общий объем инвестиций в пр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изводство по предприятию составил 289,3 млн. руб.  Приобретено новое отеч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ственное и импортное оборудование. Принято на работу 699 человек;</w:t>
      </w:r>
    </w:p>
    <w:p w:rsidR="00C75354" w:rsidRPr="00A74CF4" w:rsidRDefault="00C75354" w:rsidP="00C7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ЗАО ППФ «Тимашевская» -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17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или в 4 раза. Инвестиции направлены на реконструкцию птичников в ст. Новокорсунской (в 2015 году в связи со сложным финансовым положением на предприятии, инвестиционная деятельность была приостановлена);</w:t>
      </w:r>
    </w:p>
    <w:p w:rsidR="00C75354" w:rsidRPr="00A74CF4" w:rsidRDefault="00C75354" w:rsidP="00C7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ЗАО «Констанция Кубань» -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7,8 млн. руб. или в 2 раза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5354" w:rsidRPr="00A74CF4" w:rsidRDefault="00C75354" w:rsidP="00C7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 2015 года предприятием реализуется инвестиционный проект «Моде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 производственных мощностей предприятия (приобретение и установка ламинатора и машины глубокой печати)», общий объем инвестиций по проекту составит 355,0 млн. руб., запланировано 12 новых рабочих мест.  </w:t>
      </w:r>
    </w:p>
    <w:p w:rsidR="00C75354" w:rsidRPr="00A74CF4" w:rsidRDefault="00C75354" w:rsidP="00C7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1 квартале 2016 года приобретена  машина глубокой печати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Полишм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стер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» для переноса краски с металлических цилиндров на упаковочный матер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ал;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АО «АР Картон» - на 22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млн. руб. или в 2 раза. Инвестиции направлены на модернизацию производственных линий предприятия;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ООО «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Краун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Корк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Кубань» - на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или в 3,5 раза. Инвестиции направлены на модернизацию производственных линий предприятия;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«Кубань-Полимер» -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48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или в 9 раз. Инвестиции направлены на модернизацию производственных линий предприятия;</w:t>
      </w:r>
    </w:p>
    <w:p w:rsidR="00C75354" w:rsidRPr="00A74CF4" w:rsidRDefault="00C75354" w:rsidP="00C7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«Садовод» -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29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или 2 раза, в связи с реализацией 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вестиционного проекта «Строительство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фруктохранилища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2,5 тыс. тонн»;</w:t>
      </w:r>
    </w:p>
    <w:p w:rsidR="00C75354" w:rsidRPr="00A74CF4" w:rsidRDefault="00C75354" w:rsidP="00C75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ОАО САФ «Русь» - на 6,8 млн. руб. или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>на 12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% (приобреталась сел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скохозяйственная техника);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ПАО «Хлеб Кубани» - </w:t>
      </w:r>
      <w:r w:rsidR="00130B6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на 1,2 млн. руб. или на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41,6% Инвестиции направлены на модернизацию производственных линий предприятия;</w:t>
      </w:r>
    </w:p>
    <w:p w:rsidR="00C75354" w:rsidRPr="00A74CF4" w:rsidRDefault="00C75354" w:rsidP="00C7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Снижение объема инвестиций за 9 месяцев 2016 года получено по пре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приятиям:</w:t>
      </w:r>
    </w:p>
    <w:p w:rsidR="00C75354" w:rsidRPr="00A74CF4" w:rsidRDefault="00C75354" w:rsidP="00C753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За 9 месяцев 2016 года общий объем инвестиций в производство по «Тимашевскому молочному комбинату» ф-л АО «ВБД» составил 158,9 млн. руб., что меньше соответствующего периода прошлого года на 299,6 млн. руб. или на 65,3%, так как в 1 квартале 2015 года был введен в эксплуатацию ОАО «Вимм-Билль-Данн» в ст. Медведовской цех по производству творожной массы (мощность - 78 </w:t>
      </w:r>
      <w:proofErr w:type="spellStart"/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тн</w:t>
      </w:r>
      <w:proofErr w:type="spellEnd"/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в смену), склад сырья и материалов, здание приемки молока и бытовых помещений. 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ООО «Кубанские консервы» - общий объем инвестиций в производство составил 99,1 млн. руб., что меньше соответствующего периода прошлого года на 66,9 млн. руб. или на 40,3% (в декабре 2015 года завершилась реализация инвестиционного проекта "Расширение производственного корпуса с технич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ским усовершенствованием производственных линий путем замены оборудов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ния стерилизованного отделения с увеличением мощности до 100 млн. физич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банок  в год и строительство складов готовой продукции и № 2» с начала </w:t>
      </w:r>
    </w:p>
    <w:p w:rsidR="00C75354" w:rsidRPr="00A74CF4" w:rsidRDefault="00C75354" w:rsidP="00C753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 освоено 667,0 млн. руб.);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75354" w:rsidRPr="00A74CF4" w:rsidRDefault="00C75354" w:rsidP="00C75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ООО ХК АФ «Россия» - предприятием за 9 месяцев 2016 года освоено инвестиций 37,9 млн. руб., что меньше соответствующего периода прошлого года на 9,0 млн. руб. или на 19,2% (в 2015 году приобреталась сельскохозя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ственная техника).</w:t>
      </w:r>
    </w:p>
    <w:p w:rsidR="00C75354" w:rsidRPr="00A74CF4" w:rsidRDefault="00C75354" w:rsidP="00C753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29 сентября по 02 октября 2016 года в Главном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Медиацентре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женном в прибрежном кластере Имеретинской низменности Адлерского рай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на, города Сочи делегация муниципального образования Тимашевский район во главе с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Житловым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и заместителем главы муниципального образования Тимашевский район, инвестиционным уполномоченным Репях И.Б. приняла участие в работе Международного инвестиционного форума «Сочи-2016». </w:t>
      </w:r>
    </w:p>
    <w:p w:rsidR="00C75354" w:rsidRPr="00A74CF4" w:rsidRDefault="00C75354" w:rsidP="00C753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образованием Тимашевский район было представлено        5 инвестиционных проектов и 5 инвестиционно привлекательных земельных площадок. </w:t>
      </w:r>
    </w:p>
    <w:p w:rsidR="00C75354" w:rsidRPr="00A74CF4" w:rsidRDefault="00C75354" w:rsidP="00C753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более 30 рабочих встреч с инвесторами. </w:t>
      </w:r>
    </w:p>
    <w:p w:rsidR="00C75354" w:rsidRPr="00A74CF4" w:rsidRDefault="00C75354" w:rsidP="00C753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Форуме с представителями бизнеса было подписано 7 инвестиционных соглашений на общую сумму 3,7 млрд. рублей: 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«Строительство завода по производству пектина и яблочного концентр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та», объем инвестиций 2240,0 млн. рублей, срок реализации проекта 2 года;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«Строительство сельскохозяйственного рынка»,  объем инвестиций 548,8 млн. руб., срок реализации проекта 1 год;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«Строительство теплиц 5,5 га» (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г.Тимашевск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ул.Колхозная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 1Р), объем инвестиций 450,0 млн. руб., срок реализации проекта 2016 год;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«Производство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редиспергируемых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полимерных порошков» объем инв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стиций 250,0 млн. руб., срок реализации проекта 4 года; 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«Строительство завода по производству термопластичных эластомеров»  стоимость инвестиционного проекта 100,0 млн. руб., срок реализации проекта 4 года; </w:t>
      </w:r>
    </w:p>
    <w:p w:rsidR="00C75354" w:rsidRPr="00A74CF4" w:rsidRDefault="00C75354" w:rsidP="00C753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«Строительство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фруктохранилища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2,5 тыс. тонн»,  объем инвестиций 65,0 млн. руб., срок реализации проекта 2 года;  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«Футбольный манеж со встроенными бытовыми помещениями ФК «Кра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нодар», объем инвестиций 28,0 млн. руб., срок реализации проекта 2016 год.</w:t>
      </w:r>
    </w:p>
    <w:p w:rsidR="007D735C" w:rsidRPr="00A74CF4" w:rsidRDefault="00C75354" w:rsidP="007D7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году завершена реализация инвестиционного проекта «Р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конструкция локальных очистных сооружений» «Тимашевский молочный ко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бинат» ф-л АО «ВБД», сроки реализации проекта 2010- 2014г.г., ввод в экспл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атацию – декабрь 2014 года,  сумма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265 млн. рублей, фактически освоено 265,0 млн. рублей. </w:t>
      </w:r>
      <w:r w:rsidR="007D735C"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Очистные сооружения были признаны «Лучшим экологическим проектом, реализованным на территории Краснодарского края» по итогам конкурса «Лучшие </w:t>
      </w:r>
      <w:proofErr w:type="spellStart"/>
      <w:r w:rsidR="007D735C"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>экотехнологии</w:t>
      </w:r>
      <w:proofErr w:type="spellEnd"/>
      <w:r w:rsidR="007D735C"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Кубани» - 2014, 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>количество с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>зданных рабочих мест – 0.</w:t>
      </w:r>
    </w:p>
    <w:p w:rsidR="007D735C" w:rsidRPr="00A74CF4" w:rsidRDefault="007D735C" w:rsidP="00A74C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2015 году ООО «Кубанские консервы» -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завершена реализация инвестицио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проекта «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Расширение производственного корпуса с техническим усове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шенствованием производственных линий путем замены оборудования стерил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зованного отделения с увеличением мощности до 100 млн. физических банок в год и строительства склада»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срок реализации проекта 2012- 2015г.г, ввод в эксплуатацию декабрь 2015 года, сумма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619,1 млн. рублей, факт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чески освоено 667,0 млн. рублей, количество созданных рабочих мест – 54.</w:t>
      </w:r>
    </w:p>
    <w:p w:rsidR="007D735C" w:rsidRPr="00A74CF4" w:rsidRDefault="00A74CF4" w:rsidP="00A74C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</w:rPr>
        <w:t xml:space="preserve">В 2015 году 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«Тимашевский молочный комбинат» ф-л АО «ВБД»  </w:t>
      </w:r>
      <w:r w:rsidR="007D735C" w:rsidRPr="00A74CF4">
        <w:rPr>
          <w:rFonts w:ascii="Times New Roman" w:eastAsia="Times New Roman" w:hAnsi="Times New Roman"/>
          <w:snapToGrid w:val="0"/>
          <w:sz w:val="28"/>
          <w:szCs w:val="28"/>
        </w:rPr>
        <w:t>ввел в эксплуатацию в ст. Медведовской цех по производству творожной массы (мощ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ность - 78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тн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>. в смену)</w:t>
      </w:r>
      <w:r w:rsidR="007D735C" w:rsidRPr="00A74CF4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проекта 2015г., ввод в эксплуат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цию – декабрь 2015 года, </w:t>
      </w:r>
      <w:r w:rsidR="007D735C"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345,0 млн. рублей, фактически освоено 345,0 млн. рублей</w:t>
      </w:r>
      <w:r w:rsidR="007D735C"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="007D735C" w:rsidRPr="00A74CF4">
        <w:rPr>
          <w:rFonts w:ascii="Times New Roman" w:eastAsia="Times New Roman" w:hAnsi="Times New Roman"/>
          <w:sz w:val="28"/>
          <w:szCs w:val="28"/>
          <w:lang w:eastAsia="ru-RU"/>
        </w:rPr>
        <w:t>количество созданных рабочих мест – 8.</w:t>
      </w:r>
      <w:r w:rsidR="007D735C"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7D735C" w:rsidRPr="00A74CF4" w:rsidRDefault="007D735C" w:rsidP="00A74CF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2015 году на фабрике ООО «Нестле Кубань» установлено новое оборудов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ние (линия) для производства кофе 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NESCAFE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Gold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Barista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проекта 2015г.г., ввод в эксплуатацию – декабрь 2015 года,  сумма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155,0 млн. рублей, фактически освоено 155,0 млн. рублей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количество созда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ных рабочих мест – 2.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7E5FA2" w:rsidRPr="00A74CF4" w:rsidRDefault="007D735C" w:rsidP="004C0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2016 году продолжалась реализация инвестиционных проектов, не было ввода в эксплуатацию новых инвестиционных объектов.</w:t>
      </w:r>
    </w:p>
    <w:p w:rsidR="004C00CF" w:rsidRPr="00A74CF4" w:rsidRDefault="004C00CF" w:rsidP="004C0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FA2" w:rsidRDefault="007E5FA2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076450"/>
            <wp:effectExtent l="0" t="0" r="952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C00CF" w:rsidRDefault="004C00CF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7D735C" w:rsidRPr="00A74CF4" w:rsidRDefault="007D735C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 территории муниципального образования Тим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шевский район реализуются крупные проекты:</w:t>
      </w:r>
    </w:p>
    <w:p w:rsidR="007D735C" w:rsidRPr="00A74CF4" w:rsidRDefault="007D735C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1) ООО «Тимашевский сахарный завод» (Инвестор – ООО «Агрохо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динг» Каневской» реализует инвестиционный проект « Реконструкция и техн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ческое перевооружение Тимашевского сахарного завода» (2015-2019 гг.), 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щий объем инвестиций в производство составит 650,0 млн. руб. Всего для обеспечения бесперебойной работы потребуется 769 человек, в сезон дополн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тельно не менее 150 человек. На 01.01.2017г. с начала реализации проекта фа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тически освоено инвестиций 307,8 млн. руб. Уже создано 719 рабочих мест. </w:t>
      </w:r>
    </w:p>
    <w:p w:rsidR="007D735C" w:rsidRPr="00A74CF4" w:rsidRDefault="007D735C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2) ЗАО «Констанция Кубань» - реализуется инвестиционный проект « Модернизация производственных мощностей предприятия (приобретение и установка ламинатора и машины глубокой печати)» (2015-2019 гг.), общий об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ъ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ем инвестиций в производство составит 355,0 млн. руб., запланировано 12 н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вых рабочих мест.  На 01.01.2017г. с начала реализации проекта фактически освоено инвестиций 164,0 млн. руб. Создано 12 рабочих мест.</w:t>
      </w:r>
    </w:p>
    <w:p w:rsidR="007D735C" w:rsidRPr="00A74CF4" w:rsidRDefault="007D735C" w:rsidP="007D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3) ОАО ТК «Прогресс» - реализуется инвестиционный проект « Стро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тельство теплиц 5,5 га» (2016г.), общий объем инвестиций в производство с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ставит 450,0 млн. руб., запланировано 80 новых рабочих мест.  На 01.01.2017г. с начала реализации проекта фактически освоено инвестиций 220,0 млн. руб. </w:t>
      </w:r>
    </w:p>
    <w:p w:rsidR="007D735C" w:rsidRPr="00A74CF4" w:rsidRDefault="007D735C" w:rsidP="00D67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4) АО «ВБД» - реализуется инвестиционный проект « Строительство з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вода (цеха) детского молочного питания на Тимашевском молочном комбин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те» (2015-2018г.г.), общий объем инвестиций в производство составит 2631,0 млн. руб., запланировано 67 новых рабочих мест.  На 01.01.2017г. с начала ре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лизации проекта фактически освоено инвестиций 300,0 млн. руб. </w:t>
      </w:r>
    </w:p>
    <w:p w:rsidR="00D67669" w:rsidRPr="00A74CF4" w:rsidRDefault="00D67669" w:rsidP="00D67669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lastRenderedPageBreak/>
        <w:t xml:space="preserve">Район продолжает инвестиционно развиваться, есть подготовленные площадки, которые очень удобны для размещения проектов. </w:t>
      </w:r>
    </w:p>
    <w:p w:rsidR="00C75354" w:rsidRPr="00A74CF4" w:rsidRDefault="00D67669" w:rsidP="00D67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hAnsi="Times New Roman"/>
          <w:sz w:val="28"/>
          <w:szCs w:val="28"/>
        </w:rPr>
        <w:t>В ближайшей перспективе расширение инвестиционного потенциала планируется за счет реализации 6 инвестиционных проектов и 6 инвестицио</w:t>
      </w:r>
      <w:r w:rsidRPr="00A74CF4">
        <w:rPr>
          <w:rFonts w:ascii="Times New Roman" w:hAnsi="Times New Roman"/>
          <w:sz w:val="28"/>
          <w:szCs w:val="28"/>
        </w:rPr>
        <w:t>н</w:t>
      </w:r>
      <w:r w:rsidRPr="00A74CF4">
        <w:rPr>
          <w:rFonts w:ascii="Times New Roman" w:hAnsi="Times New Roman"/>
          <w:sz w:val="28"/>
          <w:szCs w:val="28"/>
        </w:rPr>
        <w:t xml:space="preserve">ных площадок, включенных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единую систему</w:t>
      </w:r>
      <w:r w:rsidR="003868F6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инвестиционных предложений Краснодарского края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– инвестиционный проект «Строительство детского развлекательного центра с кафе». Объем инвестиций – 68,3 млн. руб.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– инвестиционный проект «Строительство логистического центра по хр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нению и сбыту сельскохозяйственной продукции с автостоянкой для больш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грузных автомобилей». Объем инвестиций – 87,3 млн. руб.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– инвестиционный проект «Строительство автоматизированной запр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вочной станции (АЗС)». Объем инвестиций – 54,9 млн. руб.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– инвестиционный проект «Строительство ангаров для хранения и фасо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ки сельскохозяйственной продукции». Объем инвестиций – 74,4 млн. руб. 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– инвестиционный проект «Строительство придорожного сервиса (СТО)»</w:t>
      </w:r>
      <w:r w:rsidR="00A744DD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– 63,6 млн. руб.</w:t>
      </w:r>
    </w:p>
    <w:p w:rsidR="00A744DD" w:rsidRPr="00A74CF4" w:rsidRDefault="00A744DD" w:rsidP="00A744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– инвестиционный проект «Строительство теплиц для выращивания ов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щей, цветов, ягод, декоративных растений» – 388,2 млн. руб. 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коттеджей». Площадь 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– 1,4 га;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спортивно-оздоровительного комплекса». Площадь земельного участка – 1,7 га;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объектов сельскохозя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ственного назначения». Площадь земельного участка – 0,7 га;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производственного компле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са». Площадь земельного участка – 10 га;</w:t>
      </w:r>
    </w:p>
    <w:p w:rsidR="00C75354" w:rsidRPr="00A74CF4" w:rsidRDefault="00C75354" w:rsidP="00C753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объектов промышленного назначения». Площадь земельного участка – 21,4 га.</w:t>
      </w:r>
    </w:p>
    <w:p w:rsidR="00A744DD" w:rsidRPr="00A74CF4" w:rsidRDefault="00A744DD" w:rsidP="00A74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инвестиционная площадка «Строительство стоянки для большегрузных автомобилей». Площадь земельного участка – 10 га.</w:t>
      </w:r>
    </w:p>
    <w:p w:rsidR="007D735C" w:rsidRDefault="007D735C" w:rsidP="00A744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A74CF4" w:rsidRDefault="00E03849" w:rsidP="00AB3DA2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7FE7">
        <w:rPr>
          <w:rFonts w:ascii="Times New Roman" w:hAnsi="Times New Roman"/>
          <w:b/>
          <w:sz w:val="28"/>
          <w:szCs w:val="28"/>
        </w:rPr>
        <w:t>2</w:t>
      </w:r>
      <w:r w:rsidR="006E4F64" w:rsidRPr="009C7FE7">
        <w:rPr>
          <w:rFonts w:ascii="Times New Roman" w:hAnsi="Times New Roman"/>
          <w:b/>
          <w:sz w:val="28"/>
          <w:szCs w:val="28"/>
        </w:rPr>
        <w:t>.</w:t>
      </w:r>
      <w:r w:rsidR="009C7FE7" w:rsidRPr="009C7FE7">
        <w:rPr>
          <w:rFonts w:ascii="Times New Roman" w:hAnsi="Times New Roman"/>
          <w:b/>
          <w:sz w:val="28"/>
          <w:szCs w:val="28"/>
        </w:rPr>
        <w:t>3.</w:t>
      </w:r>
      <w:r w:rsidR="006E4F64" w:rsidRPr="009C7FE7">
        <w:rPr>
          <w:rFonts w:ascii="Times New Roman" w:hAnsi="Times New Roman"/>
          <w:b/>
          <w:sz w:val="28"/>
          <w:szCs w:val="28"/>
        </w:rPr>
        <w:t xml:space="preserve"> </w:t>
      </w:r>
      <w:r w:rsidR="00A8121C">
        <w:rPr>
          <w:rFonts w:ascii="Times New Roman" w:hAnsi="Times New Roman"/>
          <w:b/>
          <w:sz w:val="28"/>
          <w:szCs w:val="28"/>
        </w:rPr>
        <w:t>Анализ приоритет</w:t>
      </w:r>
      <w:r w:rsidR="00AB3DA2">
        <w:rPr>
          <w:rFonts w:ascii="Times New Roman" w:hAnsi="Times New Roman"/>
          <w:b/>
          <w:sz w:val="28"/>
          <w:szCs w:val="28"/>
        </w:rPr>
        <w:t xml:space="preserve">ных и социально значимых рынков </w:t>
      </w:r>
    </w:p>
    <w:p w:rsidR="006E4F64" w:rsidRPr="009C7FE7" w:rsidRDefault="00AB3DA2" w:rsidP="00AB3DA2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Тимашевского района</w:t>
      </w:r>
    </w:p>
    <w:p w:rsidR="00C7535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B3DA2" w:rsidRPr="00A74CF4" w:rsidRDefault="00AB3DA2" w:rsidP="00AB3DA2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федеральном уровне Стандартом определены 11 социально значимых рынков для развития конкуренции, которые реализуются на территории Тим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шевского района: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дошкольного образования;</w:t>
      </w:r>
      <w:bookmarkStart w:id="0" w:name="_GoBack"/>
      <w:bookmarkEnd w:id="0"/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детского отдыха и оздоровления;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дополнительного образования детей;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медицинских услуг;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психолого-педагогического сопровождения детей с огр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ниченными возможностями здоровья;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в сфере культуры;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жилищно-коммунального хозяйства;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розничная торговля;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перевозок пассажиров наземным транспортом;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связи;</w:t>
      </w:r>
    </w:p>
    <w:p w:rsidR="00AB3DA2" w:rsidRPr="00A74CF4" w:rsidRDefault="00AB3DA2" w:rsidP="00AB3D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социального обслуживания населения.</w:t>
      </w:r>
    </w:p>
    <w:p w:rsidR="00A74CF4" w:rsidRDefault="00AB3DA2" w:rsidP="00A74CF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highlight w:val="green"/>
        </w:rPr>
      </w:pP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Все выше перечисленные рынки присутствуют на территории м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образования Тимашевский район.</w:t>
      </w:r>
      <w:r w:rsidR="00A74CF4" w:rsidRPr="00A74CF4">
        <w:rPr>
          <w:rFonts w:ascii="Times New Roman" w:hAnsi="Times New Roman"/>
          <w:iCs/>
          <w:sz w:val="28"/>
          <w:szCs w:val="28"/>
          <w:highlight w:val="green"/>
        </w:rPr>
        <w:t xml:space="preserve"> </w:t>
      </w:r>
    </w:p>
    <w:p w:rsidR="00A74CF4" w:rsidRPr="00A74CF4" w:rsidRDefault="00A74CF4" w:rsidP="00A74CF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74CF4">
        <w:rPr>
          <w:rFonts w:ascii="Times New Roman" w:hAnsi="Times New Roman"/>
          <w:iCs/>
          <w:sz w:val="28"/>
          <w:szCs w:val="28"/>
        </w:rPr>
        <w:t>Наряду с этими рынками в районе определены рынок сельхозпродукции (овощной и плодово-ягодной продукции, продукции животноводства и рынок бытовых услуг), которые содействуют развитию основных социально-значимых приоритетных рынков для развития конкуренции.</w:t>
      </w:r>
    </w:p>
    <w:p w:rsidR="00AB3DA2" w:rsidRPr="00AB3DA2" w:rsidRDefault="00AB3DA2" w:rsidP="00AB3DA2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CF4" w:rsidRPr="00A74CF4" w:rsidRDefault="00AB3DA2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2.3.1. </w:t>
      </w:r>
      <w:r w:rsidR="00C75354"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Рынок услуг дошкольного образования в </w:t>
      </w:r>
      <w:proofErr w:type="gramStart"/>
      <w:r w:rsidR="00C75354"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</w:t>
      </w:r>
      <w:proofErr w:type="gramEnd"/>
      <w:r w:rsidR="00C75354"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образовании</w:t>
      </w:r>
      <w:proofErr w:type="gramEnd"/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Тимашевский район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 Тимашевский район проживают 9558 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тей в возрасте от 0-7 лет. В районе функционируют 33 муниципальных 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школьных учреждения, в т.ч. в сельской местности -16 садов, в городской местности - 17 садов и 1 негосударственный детский сад ОАО «РЖД».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Численность детей дошкольного возраста, охваченных услугами 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школьного образования в 2014 году – 5490 детей, из них в группах кратковр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менного пребывания – 66 человек, в группах семейного воспитания – 93 чел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века. В 2015 году – 5778 детей, из них в группах кратковременного пребывания – 89 человек, в группах семейного воспитания – 128 человек.  В 2016 году – 5754 детей, из них в группах кратковременного пребывания – 102  человека, в группах семейного воспитания – 123 человека.</w:t>
      </w:r>
    </w:p>
    <w:p w:rsidR="007E5FA2" w:rsidRPr="00C75354" w:rsidRDefault="007E5FA2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C75354" w:rsidRPr="00C7535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75354">
        <w:rPr>
          <w:rFonts w:ascii="Times New Roman" w:eastAsia="Times New Roman" w:hAnsi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6C1BD711" wp14:editId="0316A1EA">
            <wp:extent cx="5753100" cy="3124200"/>
            <wp:effectExtent l="0" t="0" r="19050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75354" w:rsidRPr="00C7535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«дорожной карты» по ликвидации очередности на 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числение в дошкольные образовательные организации были проведены мер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приятия, которые позволили с 2014 по 2016 год ввести 445 мест.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2014 год: введено 185 мест (капитальный ремонт групповых ячеек   ДОУ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5,11, дополнительный корпус ДОУ № 21,40, семе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>йная группа-5 мест) на сумму 63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,9 млн. рублей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(из них федеральный бюджет- 26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>,1млн.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краевой бюджет- 34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,5 млн.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рублей,  муниципальный бюджет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535A" w:rsidRPr="00A74CF4">
        <w:rPr>
          <w:rFonts w:ascii="Times New Roman" w:eastAsia="Times New Roman" w:hAnsi="Times New Roman"/>
          <w:sz w:val="28"/>
          <w:szCs w:val="28"/>
          <w:lang w:eastAsia="ru-RU"/>
        </w:rPr>
        <w:t>,3 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p w:rsidR="00022A83" w:rsidRPr="00A74CF4" w:rsidRDefault="00C75354" w:rsidP="004C6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2015 год: введено260 мест ( капитальный ремонт групповой ячейки -ДОУ № 1, строительство дополнительного корпуса ДОУ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№ 26, открыты семейные группы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на 32 места, кратковременные группы- на 138 мест) на сумму 31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>,7 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(из них краевой бюджет-29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>,8 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муниципальный бюджет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>,7 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>лей, внебюджетные средства-200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A83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рублей).</w:t>
      </w:r>
      <w:r w:rsidRPr="00A74C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На содержание детей в дошкольных образовательных организациях были израсходованы следующие денежные средства: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1. Краевой бюджет:</w:t>
      </w: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было предоставлено субвенций  на сумму 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>352,5 млн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>. ру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лей (из них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на реализацию образовательной услуги -314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>,7 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 на с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держание зданий- 37,8 млн. руб.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2015 год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у было предоставлено субвенций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всего 315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>млн.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ей (из них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заработна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>я плата-307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D03999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 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– 8,2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рублей). 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2016 году предоставлено субвенций  всег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>о 329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,3 млн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(из них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-318,5 млн</w:t>
      </w:r>
      <w:r w:rsidR="004C6F9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 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,8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рублей).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2. Муниципальный бюджет. </w:t>
      </w:r>
    </w:p>
    <w:p w:rsidR="00C75354" w:rsidRPr="00A74CF4" w:rsidRDefault="004C6F91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,8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(из них на содержание зданий, оплату коммунальных услуг – 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56,6 млн. </w:t>
      </w:r>
      <w:proofErr w:type="spellStart"/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, на питание – 25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,2 млн. рублей).</w:t>
      </w:r>
    </w:p>
    <w:p w:rsidR="00C75354" w:rsidRPr="00A74CF4" w:rsidRDefault="0062005F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2015 году выделено 82,1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 (из них на питание детей- 37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,8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на коммунальные и прочие услуги 44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,3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рублей).</w:t>
      </w:r>
    </w:p>
    <w:p w:rsidR="00517ADF" w:rsidRPr="00A74CF4" w:rsidRDefault="0062005F" w:rsidP="00517AD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2016 году – 93,8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ей (из них на питание детей- 45,1 млн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. ру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на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коммунальные и прочие услуги 48,7 млн</w:t>
      </w:r>
      <w:r w:rsidR="00517ADF"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рублей).</w:t>
      </w:r>
    </w:p>
    <w:p w:rsidR="00C75354" w:rsidRPr="00A74CF4" w:rsidRDefault="00C75354" w:rsidP="00517AD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3. Внебюджетные средства (родительская плата за присмотр и уход):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2014 году родите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льская плата составила всего 28,6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(из них на 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организацию питания- 20,3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на хозяйственно-бытовое 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служивание (приобретен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ие моющих и мягкого инвентаря-8,3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рублей). 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2015 году родите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льская плата составила всего 41,2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(из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на организацию питания- 37,5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на хозяйственно-бытовое 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служивание (приобретен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ие моющих и мягкого инвентаря-3,7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рублей). </w:t>
      </w:r>
    </w:p>
    <w:p w:rsidR="00C75354" w:rsidRPr="00A74CF4" w:rsidRDefault="00C75354" w:rsidP="00C753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2016 году родите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>льская плата составила всего 39,9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(из</w:t>
      </w:r>
      <w:r w:rsidR="0062005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на организацию питания- 38,0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. рублей, на хозяйственно-бытовое 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служивание (приобретен</w:t>
      </w:r>
      <w:r w:rsidR="004E6C47" w:rsidRPr="00A74CF4">
        <w:rPr>
          <w:rFonts w:ascii="Times New Roman" w:eastAsia="Times New Roman" w:hAnsi="Times New Roman"/>
          <w:sz w:val="28"/>
          <w:szCs w:val="28"/>
          <w:lang w:eastAsia="ru-RU"/>
        </w:rPr>
        <w:t>ие моющих и мягкого инвентаря-1,9 млн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рублей). 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354" w:rsidRPr="00C75354" w:rsidRDefault="00C75354" w:rsidP="00781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75354"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164E2F5B" wp14:editId="507B6304">
            <wp:extent cx="5724525" cy="2466975"/>
            <wp:effectExtent l="0" t="0" r="9525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сельских поселениях все мероприятия по вводу</w:t>
      </w:r>
      <w:r w:rsidR="00EF6C68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мест выполнены, 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днако в городе предстоит работа в данном направлении.</w:t>
      </w:r>
    </w:p>
    <w:p w:rsidR="00C75354" w:rsidRPr="00A74CF4" w:rsidRDefault="00C75354" w:rsidP="00EF6C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доступности дошкольного  образования, повыш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ния педагогической компетентности родителей, воспитывающих детей д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школьного возраста на дому, в т. ч. детей с ограниченными возможностями здоровь</w:t>
      </w:r>
      <w:r w:rsidR="00517AD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я  в  2016 году на базе ДОО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№ 5, 6, 7, 12, 14, 18, 20, 21, 32, 37, 40  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крыты консультационные центры. В очном и заочном режиме за психологич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ской, методической консультацией в них обратились 101 человек.</w:t>
      </w:r>
    </w:p>
    <w:p w:rsidR="007814B3" w:rsidRPr="00A74CF4" w:rsidRDefault="00517ADF" w:rsidP="00781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целью обеспечения условий доступности для инвалидов объектов д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школьного образования и получения детьми - инвалидам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 услуг в сфере обр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в </w:t>
      </w:r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организациях № 5, 6, 21, 26, 40  в 2016 году создана универсальная </w:t>
      </w:r>
      <w:proofErr w:type="spellStart"/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="00C75354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среда. На вып</w:t>
      </w:r>
      <w:r w:rsidR="007814B3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этих условий выделено: </w:t>
      </w:r>
    </w:p>
    <w:p w:rsidR="00C75354" w:rsidRPr="00A74CF4" w:rsidRDefault="00C75354" w:rsidP="00781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из федерального бюджета – 1760, 3 тыс. руб.;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- из краевого бюджета – 754,4 тыс. руб.;</w:t>
      </w:r>
    </w:p>
    <w:p w:rsidR="00C75354" w:rsidRPr="00A74CF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- из муниципального бюджета – 1395,3 тыс. руб.  </w:t>
      </w:r>
    </w:p>
    <w:p w:rsidR="00C75354" w:rsidRPr="00C75354" w:rsidRDefault="00C75354" w:rsidP="00C753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Результаты опроса жителей района об удовлетворенности услугами ры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ка дошкольного образования показали, что 58,8% опрошенных удовлетворены такими услугами; 31,2% - «скорее удовлетворены», не удовлетворены – 2%.</w:t>
      </w:r>
    </w:p>
    <w:p w:rsidR="00C75354" w:rsidRDefault="00C75354" w:rsidP="00D25C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F45" w:rsidRPr="00A74CF4" w:rsidRDefault="00EF6C68" w:rsidP="00856F4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4CF4">
        <w:rPr>
          <w:rFonts w:ascii="Times New Roman" w:hAnsi="Times New Roman"/>
          <w:b/>
          <w:sz w:val="28"/>
          <w:szCs w:val="28"/>
        </w:rPr>
        <w:t xml:space="preserve">2.3.2. </w:t>
      </w:r>
      <w:r w:rsidR="00856F45" w:rsidRPr="00A74CF4">
        <w:rPr>
          <w:rFonts w:ascii="Times New Roman" w:hAnsi="Times New Roman"/>
          <w:b/>
          <w:sz w:val="28"/>
          <w:szCs w:val="28"/>
        </w:rPr>
        <w:t>Рынок услуг детского отдыха и оздоровления в муниципальном образовании Тимашевский район.</w:t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муниципальном образовании Тимашевский район функционирует заг</w:t>
      </w:r>
      <w:r w:rsidRPr="00A74CF4">
        <w:rPr>
          <w:rFonts w:ascii="Times New Roman" w:hAnsi="Times New Roman"/>
          <w:sz w:val="28"/>
          <w:szCs w:val="28"/>
        </w:rPr>
        <w:t>о</w:t>
      </w:r>
      <w:r w:rsidRPr="00A74CF4">
        <w:rPr>
          <w:rFonts w:ascii="Times New Roman" w:hAnsi="Times New Roman"/>
          <w:sz w:val="28"/>
          <w:szCs w:val="28"/>
        </w:rPr>
        <w:t>родный стационарный лагерь отдыха и оздоровления «Золотой колос». Ежего</w:t>
      </w:r>
      <w:r w:rsidRPr="00A74CF4">
        <w:rPr>
          <w:rFonts w:ascii="Times New Roman" w:hAnsi="Times New Roman"/>
          <w:sz w:val="28"/>
          <w:szCs w:val="28"/>
        </w:rPr>
        <w:t>д</w:t>
      </w:r>
      <w:r w:rsidRPr="00A74CF4">
        <w:rPr>
          <w:rFonts w:ascii="Times New Roman" w:hAnsi="Times New Roman"/>
          <w:sz w:val="28"/>
          <w:szCs w:val="28"/>
        </w:rPr>
        <w:t xml:space="preserve">но в течение лета на его базе </w:t>
      </w:r>
      <w:proofErr w:type="spellStart"/>
      <w:r w:rsidRPr="00A74CF4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400 человек. </w:t>
      </w:r>
    </w:p>
    <w:p w:rsidR="00856F45" w:rsidRPr="00856F45" w:rsidRDefault="00856F45" w:rsidP="00856F45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  <w:lang w:bidi="en-US"/>
        </w:rPr>
      </w:pPr>
      <w:r w:rsidRPr="00856F45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lastRenderedPageBreak/>
        <w:drawing>
          <wp:inline distT="0" distB="0" distL="0" distR="0" wp14:anchorId="37124833" wp14:editId="53689D39">
            <wp:extent cx="5667375" cy="2771775"/>
            <wp:effectExtent l="0" t="0" r="9525" b="9525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2016 году из краевого бюджета на оздоровление детей в МБУ ЗСЛОО «Золотой колос» было предусмотрено 3 152,30</w:t>
      </w:r>
      <w:r w:rsidR="007814B3" w:rsidRPr="00A74CF4">
        <w:rPr>
          <w:rFonts w:ascii="Times New Roman" w:hAnsi="Times New Roman"/>
          <w:sz w:val="28"/>
          <w:szCs w:val="28"/>
        </w:rPr>
        <w:t xml:space="preserve"> тыс.</w:t>
      </w:r>
      <w:r w:rsidRPr="00A74CF4">
        <w:rPr>
          <w:rFonts w:ascii="Times New Roman" w:hAnsi="Times New Roman"/>
          <w:sz w:val="28"/>
          <w:szCs w:val="28"/>
        </w:rPr>
        <w:t xml:space="preserve"> руб. или 5% относительно аналогичного периода 2015 года (в 2015 году израсходовано 3 312,0 </w:t>
      </w:r>
      <w:r w:rsidR="007814B3" w:rsidRPr="00A74CF4">
        <w:rPr>
          <w:rFonts w:ascii="Times New Roman" w:hAnsi="Times New Roman"/>
          <w:sz w:val="28"/>
          <w:szCs w:val="28"/>
        </w:rPr>
        <w:t xml:space="preserve">тыс. руб.) и </w:t>
      </w:r>
      <w:r w:rsidRPr="00A74CF4">
        <w:rPr>
          <w:rFonts w:ascii="Times New Roman" w:hAnsi="Times New Roman"/>
          <w:sz w:val="28"/>
          <w:szCs w:val="28"/>
        </w:rPr>
        <w:t>6,3% относительно аналогичного периода в 2014 году (в 2014 году 2 952,6</w:t>
      </w:r>
      <w:r w:rsidR="007814B3" w:rsidRPr="00A74CF4">
        <w:rPr>
          <w:rFonts w:ascii="Times New Roman" w:hAnsi="Times New Roman"/>
          <w:sz w:val="28"/>
          <w:szCs w:val="28"/>
        </w:rPr>
        <w:t xml:space="preserve"> тыс.</w:t>
      </w:r>
      <w:r w:rsidRPr="00A74CF4">
        <w:rPr>
          <w:rFonts w:ascii="Times New Roman" w:hAnsi="Times New Roman"/>
          <w:sz w:val="28"/>
          <w:szCs w:val="28"/>
        </w:rPr>
        <w:t xml:space="preserve"> руб.)</w:t>
      </w:r>
      <w:r w:rsidRPr="00A74CF4">
        <w:rPr>
          <w:rFonts w:ascii="Times New Roman" w:hAnsi="Times New Roman"/>
          <w:sz w:val="28"/>
          <w:szCs w:val="28"/>
        </w:rPr>
        <w:tab/>
      </w:r>
    </w:p>
    <w:p w:rsidR="00856F45" w:rsidRPr="00856F45" w:rsidRDefault="00856F45" w:rsidP="00856F45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  <w:lang w:bidi="en-US"/>
        </w:rPr>
      </w:pPr>
      <w:r w:rsidRPr="00856F45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1DC40F0F" wp14:editId="058264CE">
            <wp:extent cx="5467350" cy="3762375"/>
            <wp:effectExtent l="0" t="0" r="19050" b="9525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Из муниципального бюджета на эти же цели в 2016 году предусмотрено 592,3</w:t>
      </w:r>
      <w:r w:rsidR="007814B3" w:rsidRPr="00A74CF4">
        <w:rPr>
          <w:rFonts w:ascii="Times New Roman" w:hAnsi="Times New Roman"/>
          <w:sz w:val="28"/>
          <w:szCs w:val="28"/>
        </w:rPr>
        <w:t xml:space="preserve"> тыс. руб. или </w:t>
      </w:r>
      <w:r w:rsidRPr="00A74CF4">
        <w:rPr>
          <w:rFonts w:ascii="Times New Roman" w:hAnsi="Times New Roman"/>
          <w:sz w:val="28"/>
          <w:szCs w:val="28"/>
        </w:rPr>
        <w:t>37,8% относительно аналогичного периода 2015 года (в 2015 году – 368,0</w:t>
      </w:r>
      <w:r w:rsidR="007814B3" w:rsidRPr="00A74CF4">
        <w:rPr>
          <w:rFonts w:ascii="Times New Roman" w:hAnsi="Times New Roman"/>
          <w:sz w:val="28"/>
          <w:szCs w:val="28"/>
        </w:rPr>
        <w:t xml:space="preserve"> тыс.</w:t>
      </w:r>
      <w:r w:rsidRPr="00A74CF4">
        <w:rPr>
          <w:rFonts w:ascii="Times New Roman" w:hAnsi="Times New Roman"/>
          <w:sz w:val="28"/>
          <w:szCs w:val="28"/>
        </w:rPr>
        <w:t xml:space="preserve"> руб.</w:t>
      </w:r>
      <w:r w:rsidR="004E6C47" w:rsidRPr="00A74CF4">
        <w:rPr>
          <w:rFonts w:ascii="Times New Roman" w:hAnsi="Times New Roman"/>
          <w:sz w:val="28"/>
          <w:szCs w:val="28"/>
        </w:rPr>
        <w:t xml:space="preserve">) и </w:t>
      </w:r>
      <w:r w:rsidRPr="00A74CF4">
        <w:rPr>
          <w:rFonts w:ascii="Times New Roman" w:hAnsi="Times New Roman"/>
          <w:sz w:val="28"/>
          <w:szCs w:val="28"/>
        </w:rPr>
        <w:t xml:space="preserve">44,6% аналогичного периода 2014 года (в 2014 году – 328,1 </w:t>
      </w:r>
      <w:r w:rsidR="007814B3" w:rsidRPr="00A74CF4">
        <w:rPr>
          <w:rFonts w:ascii="Times New Roman" w:hAnsi="Times New Roman"/>
          <w:sz w:val="28"/>
          <w:szCs w:val="28"/>
        </w:rPr>
        <w:t>тыс.</w:t>
      </w:r>
      <w:r w:rsidRPr="00A74CF4">
        <w:rPr>
          <w:rFonts w:ascii="Times New Roman" w:hAnsi="Times New Roman"/>
          <w:sz w:val="28"/>
          <w:szCs w:val="28"/>
        </w:rPr>
        <w:t>руб.)</w:t>
      </w:r>
    </w:p>
    <w:p w:rsidR="00856F45" w:rsidRPr="00A74CF4" w:rsidRDefault="00856F45" w:rsidP="00856F45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A74CF4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EC7ECE0" wp14:editId="26D6FEAE">
            <wp:extent cx="4714875" cy="2475230"/>
            <wp:effectExtent l="0" t="0" r="9525" b="2032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Отдых и оздоровление детей в лагере «Золотой колос» осуществляется в полном объеме, однако для увеличения спектра оздоровительных, закалива</w:t>
      </w:r>
      <w:r w:rsidRPr="00A74CF4">
        <w:rPr>
          <w:rFonts w:ascii="Times New Roman" w:hAnsi="Times New Roman"/>
          <w:sz w:val="28"/>
          <w:szCs w:val="28"/>
        </w:rPr>
        <w:t>ю</w:t>
      </w:r>
      <w:r w:rsidRPr="00A74CF4">
        <w:rPr>
          <w:rFonts w:ascii="Times New Roman" w:hAnsi="Times New Roman"/>
          <w:sz w:val="28"/>
          <w:szCs w:val="28"/>
        </w:rPr>
        <w:t>щих и спортивных мероприятий, а также для увеличения оздоровительного э</w:t>
      </w:r>
      <w:r w:rsidRPr="00A74CF4">
        <w:rPr>
          <w:rFonts w:ascii="Times New Roman" w:hAnsi="Times New Roman"/>
          <w:sz w:val="28"/>
          <w:szCs w:val="28"/>
        </w:rPr>
        <w:t>ф</w:t>
      </w:r>
      <w:r w:rsidRPr="00A74CF4">
        <w:rPr>
          <w:rFonts w:ascii="Times New Roman" w:hAnsi="Times New Roman"/>
          <w:sz w:val="28"/>
          <w:szCs w:val="28"/>
        </w:rPr>
        <w:t>фекта у детей необходимо улучшить материально-техническое оснащение лаг</w:t>
      </w:r>
      <w:r w:rsidRPr="00A74CF4">
        <w:rPr>
          <w:rFonts w:ascii="Times New Roman" w:hAnsi="Times New Roman"/>
          <w:sz w:val="28"/>
          <w:szCs w:val="28"/>
        </w:rPr>
        <w:t>е</w:t>
      </w:r>
      <w:r w:rsidRPr="00A74CF4">
        <w:rPr>
          <w:rFonts w:ascii="Times New Roman" w:hAnsi="Times New Roman"/>
          <w:sz w:val="28"/>
          <w:szCs w:val="28"/>
        </w:rPr>
        <w:t>ря: разнообразить спортивный инвентарь и оборудование, произвести ремонт спортивно-игровых площадок, оснастить медицинский кабинет оборудованием для проведения физиотерапевтических процедур.</w:t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2016 году за счет средств выделенных из м</w:t>
      </w:r>
      <w:r w:rsidR="006753FB" w:rsidRPr="00A74CF4">
        <w:rPr>
          <w:rFonts w:ascii="Times New Roman" w:hAnsi="Times New Roman"/>
          <w:sz w:val="28"/>
          <w:szCs w:val="28"/>
        </w:rPr>
        <w:t>униципального бюджета в сумме 1</w:t>
      </w:r>
      <w:r w:rsidRPr="00A74CF4">
        <w:rPr>
          <w:rFonts w:ascii="Times New Roman" w:hAnsi="Times New Roman"/>
          <w:sz w:val="28"/>
          <w:szCs w:val="28"/>
        </w:rPr>
        <w:t>213, 9 тыс. рублей произведен капитальный ремонт ограждения МБУ ЗСЛОО «Золотой колос».</w:t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муниципальном образовании Тимашевский район ежегодно на базе о</w:t>
      </w:r>
      <w:r w:rsidRPr="00A74CF4">
        <w:rPr>
          <w:rFonts w:ascii="Times New Roman" w:hAnsi="Times New Roman"/>
          <w:sz w:val="28"/>
          <w:szCs w:val="28"/>
        </w:rPr>
        <w:t>б</w:t>
      </w:r>
      <w:r w:rsidRPr="00A74CF4">
        <w:rPr>
          <w:rFonts w:ascii="Times New Roman" w:hAnsi="Times New Roman"/>
          <w:sz w:val="28"/>
          <w:szCs w:val="28"/>
        </w:rPr>
        <w:t>разовательных организаций в период летних каникул функционируют лагеря дневного пребывания.</w:t>
      </w:r>
    </w:p>
    <w:p w:rsidR="00856F45" w:rsidRPr="00A74CF4" w:rsidRDefault="00856F45" w:rsidP="00675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целях эффективной реализации мероприятий подпрограммы «Орган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зация отдыха учащихся образовательных организаций в каникулярное время» в рамках муниципальной программы муниципального образования Тимашевский район «Развитие образования на 2015-2017 годы»</w:t>
      </w:r>
      <w:r w:rsidR="006753FB" w:rsidRPr="00A74CF4">
        <w:rPr>
          <w:rFonts w:ascii="Times New Roman" w:hAnsi="Times New Roman"/>
          <w:sz w:val="28"/>
          <w:szCs w:val="28"/>
        </w:rPr>
        <w:t xml:space="preserve"> </w:t>
      </w:r>
      <w:r w:rsidRPr="00A74CF4">
        <w:rPr>
          <w:rFonts w:ascii="Times New Roman" w:hAnsi="Times New Roman"/>
          <w:sz w:val="28"/>
          <w:szCs w:val="28"/>
        </w:rPr>
        <w:t>в 2016 год</w:t>
      </w:r>
      <w:r w:rsidR="006753FB" w:rsidRPr="00A74CF4">
        <w:rPr>
          <w:rFonts w:ascii="Times New Roman" w:hAnsi="Times New Roman"/>
          <w:sz w:val="28"/>
          <w:szCs w:val="28"/>
        </w:rPr>
        <w:t>у было организов</w:t>
      </w:r>
      <w:r w:rsidR="006753FB" w:rsidRPr="00A74CF4">
        <w:rPr>
          <w:rFonts w:ascii="Times New Roman" w:hAnsi="Times New Roman"/>
          <w:sz w:val="28"/>
          <w:szCs w:val="28"/>
        </w:rPr>
        <w:t>а</w:t>
      </w:r>
      <w:r w:rsidR="006753FB" w:rsidRPr="00A74CF4">
        <w:rPr>
          <w:rFonts w:ascii="Times New Roman" w:hAnsi="Times New Roman"/>
          <w:sz w:val="28"/>
          <w:szCs w:val="28"/>
        </w:rPr>
        <w:t xml:space="preserve">но 20 лагерей </w:t>
      </w:r>
      <w:r w:rsidRPr="00A74CF4">
        <w:rPr>
          <w:rFonts w:ascii="Times New Roman" w:hAnsi="Times New Roman"/>
          <w:sz w:val="28"/>
          <w:szCs w:val="28"/>
        </w:rPr>
        <w:t>дневного пребывания на базе 19 общеобразовательных организ</w:t>
      </w:r>
      <w:r w:rsidRPr="00A74CF4">
        <w:rPr>
          <w:rFonts w:ascii="Times New Roman" w:hAnsi="Times New Roman"/>
          <w:sz w:val="28"/>
          <w:szCs w:val="28"/>
        </w:rPr>
        <w:t>а</w:t>
      </w:r>
      <w:r w:rsidRPr="00A74CF4">
        <w:rPr>
          <w:rFonts w:ascii="Times New Roman" w:hAnsi="Times New Roman"/>
          <w:sz w:val="28"/>
          <w:szCs w:val="28"/>
        </w:rPr>
        <w:t>ции и одной организации дополнительного образования. Количество профил</w:t>
      </w:r>
      <w:r w:rsidRPr="00A74CF4">
        <w:rPr>
          <w:rFonts w:ascii="Times New Roman" w:hAnsi="Times New Roman"/>
          <w:sz w:val="28"/>
          <w:szCs w:val="28"/>
        </w:rPr>
        <w:t>ь</w:t>
      </w:r>
      <w:r w:rsidRPr="00A74CF4">
        <w:rPr>
          <w:rFonts w:ascii="Times New Roman" w:hAnsi="Times New Roman"/>
          <w:sz w:val="28"/>
          <w:szCs w:val="28"/>
        </w:rPr>
        <w:t>ных лагерей, организованных муниципальными образовательными организац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ями, осуществляющими организацию отдыха и оздоровления обучающихся в каникулярное время с дневным пребыванием в течение</w:t>
      </w:r>
      <w:r w:rsidR="007814B3" w:rsidRPr="00A74CF4">
        <w:rPr>
          <w:rFonts w:ascii="Times New Roman" w:hAnsi="Times New Roman"/>
          <w:sz w:val="28"/>
          <w:szCs w:val="28"/>
        </w:rPr>
        <w:t xml:space="preserve"> трех лет остается неи</w:t>
      </w:r>
      <w:r w:rsidR="007814B3" w:rsidRPr="00A74CF4">
        <w:rPr>
          <w:rFonts w:ascii="Times New Roman" w:hAnsi="Times New Roman"/>
          <w:sz w:val="28"/>
          <w:szCs w:val="28"/>
        </w:rPr>
        <w:t>з</w:t>
      </w:r>
      <w:r w:rsidR="007814B3" w:rsidRPr="00A74CF4">
        <w:rPr>
          <w:rFonts w:ascii="Times New Roman" w:hAnsi="Times New Roman"/>
          <w:sz w:val="28"/>
          <w:szCs w:val="28"/>
        </w:rPr>
        <w:t xml:space="preserve">менным. </w:t>
      </w:r>
      <w:r w:rsidRPr="00A74CF4">
        <w:rPr>
          <w:rFonts w:ascii="Times New Roman" w:hAnsi="Times New Roman"/>
          <w:sz w:val="28"/>
          <w:szCs w:val="28"/>
        </w:rPr>
        <w:t>Охват обучающихся в 2016 году составил 1126 человек.</w:t>
      </w:r>
    </w:p>
    <w:p w:rsidR="00856F45" w:rsidRPr="00A74CF4" w:rsidRDefault="00856F45" w:rsidP="0085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 xml:space="preserve">На эти цели в 2016 году были выделены средства из краевого бюджета в </w:t>
      </w:r>
      <w:r w:rsidR="007814B3" w:rsidRPr="00A74CF4">
        <w:rPr>
          <w:rFonts w:ascii="Times New Roman" w:hAnsi="Times New Roman"/>
          <w:sz w:val="28"/>
          <w:szCs w:val="28"/>
        </w:rPr>
        <w:t xml:space="preserve">сумме 1 538,1 тыс. рублей, </w:t>
      </w:r>
      <w:r w:rsidRPr="00A74CF4">
        <w:rPr>
          <w:rFonts w:ascii="Times New Roman" w:hAnsi="Times New Roman"/>
          <w:sz w:val="28"/>
          <w:szCs w:val="28"/>
        </w:rPr>
        <w:t>из муниципального бюджета  для</w:t>
      </w:r>
      <w:r w:rsidR="007814B3" w:rsidRPr="00A74CF4">
        <w:rPr>
          <w:rFonts w:ascii="Times New Roman" w:hAnsi="Times New Roman"/>
          <w:sz w:val="28"/>
          <w:szCs w:val="28"/>
        </w:rPr>
        <w:t xml:space="preserve"> оплаты услуг </w:t>
      </w:r>
      <w:r w:rsidRPr="00A74CF4">
        <w:rPr>
          <w:rFonts w:ascii="Times New Roman" w:hAnsi="Times New Roman"/>
          <w:sz w:val="28"/>
          <w:szCs w:val="28"/>
        </w:rPr>
        <w:t>по орг</w:t>
      </w:r>
      <w:r w:rsidR="007814B3" w:rsidRPr="00A74CF4">
        <w:rPr>
          <w:rFonts w:ascii="Times New Roman" w:hAnsi="Times New Roman"/>
          <w:sz w:val="28"/>
          <w:szCs w:val="28"/>
        </w:rPr>
        <w:t xml:space="preserve">анизации питания была выделена </w:t>
      </w:r>
      <w:r w:rsidRPr="00A74CF4">
        <w:rPr>
          <w:rFonts w:ascii="Times New Roman" w:hAnsi="Times New Roman"/>
          <w:sz w:val="28"/>
          <w:szCs w:val="28"/>
        </w:rPr>
        <w:t xml:space="preserve">сумма 342,1 </w:t>
      </w:r>
      <w:r w:rsidR="007814B3" w:rsidRPr="00A74CF4">
        <w:rPr>
          <w:rFonts w:ascii="Times New Roman" w:hAnsi="Times New Roman"/>
          <w:sz w:val="28"/>
          <w:szCs w:val="28"/>
        </w:rPr>
        <w:t>тыс.</w:t>
      </w:r>
      <w:r w:rsidRPr="00A74CF4">
        <w:rPr>
          <w:rFonts w:ascii="Times New Roman" w:hAnsi="Times New Roman"/>
          <w:sz w:val="28"/>
          <w:szCs w:val="28"/>
        </w:rPr>
        <w:t>рублей.</w:t>
      </w:r>
    </w:p>
    <w:p w:rsidR="00856F45" w:rsidRPr="00856F45" w:rsidRDefault="00856F45" w:rsidP="00856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ab/>
        <w:t>В 2017-2018 году планируется  открытие дневных лагерей труда и отдыха на базе общеобразовательных организаций, расширить сеть лагерей дневного пребывания на базе организаций дополнительного образования с введением профильности смен.</w:t>
      </w:r>
    </w:p>
    <w:p w:rsidR="008A6F5D" w:rsidRDefault="008A6F5D" w:rsidP="00D25C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78BB" w:rsidRPr="00A74CF4" w:rsidRDefault="006753FB" w:rsidP="00DB7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CF4">
        <w:rPr>
          <w:rFonts w:ascii="Times New Roman" w:hAnsi="Times New Roman"/>
          <w:b/>
          <w:sz w:val="28"/>
          <w:szCs w:val="28"/>
        </w:rPr>
        <w:t xml:space="preserve">2.3.3. </w:t>
      </w:r>
      <w:r w:rsidR="00DB78BB" w:rsidRPr="00A74CF4">
        <w:rPr>
          <w:rFonts w:ascii="Times New Roman" w:hAnsi="Times New Roman"/>
          <w:b/>
          <w:sz w:val="28"/>
          <w:szCs w:val="28"/>
        </w:rPr>
        <w:t>Рынок услуг дополнительного образования в муниципальном обр</w:t>
      </w:r>
      <w:r w:rsidR="00DB78BB" w:rsidRPr="00A74CF4">
        <w:rPr>
          <w:rFonts w:ascii="Times New Roman" w:hAnsi="Times New Roman"/>
          <w:b/>
          <w:sz w:val="28"/>
          <w:szCs w:val="28"/>
        </w:rPr>
        <w:t>а</w:t>
      </w:r>
      <w:r w:rsidR="00DB78BB" w:rsidRPr="00A74CF4">
        <w:rPr>
          <w:rFonts w:ascii="Times New Roman" w:hAnsi="Times New Roman"/>
          <w:b/>
          <w:sz w:val="28"/>
          <w:szCs w:val="28"/>
        </w:rPr>
        <w:t>зовании Тимашевский район</w:t>
      </w:r>
    </w:p>
    <w:p w:rsidR="00DB78BB" w:rsidRPr="00A74CF4" w:rsidRDefault="00DB78BB" w:rsidP="00DB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lastRenderedPageBreak/>
        <w:t>В муниципальном образовании Тимашевский район действуют</w:t>
      </w:r>
      <w:r w:rsidR="006753FB" w:rsidRPr="00A74CF4">
        <w:rPr>
          <w:rFonts w:ascii="Times New Roman" w:hAnsi="Times New Roman"/>
          <w:sz w:val="28"/>
          <w:szCs w:val="28"/>
        </w:rPr>
        <w:t xml:space="preserve"> </w:t>
      </w:r>
      <w:r w:rsidRPr="00A74CF4">
        <w:rPr>
          <w:rFonts w:ascii="Times New Roman" w:hAnsi="Times New Roman"/>
          <w:sz w:val="28"/>
          <w:szCs w:val="28"/>
        </w:rPr>
        <w:t>5 орган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 xml:space="preserve">заций дополнительного образования, </w:t>
      </w:r>
      <w:r w:rsidR="006753FB" w:rsidRPr="00A74CF4">
        <w:rPr>
          <w:rFonts w:ascii="Times New Roman" w:hAnsi="Times New Roman"/>
          <w:sz w:val="28"/>
          <w:szCs w:val="28"/>
        </w:rPr>
        <w:t xml:space="preserve">в том числе одна </w:t>
      </w:r>
      <w:r w:rsidRPr="00A74CF4">
        <w:rPr>
          <w:rFonts w:ascii="Times New Roman" w:hAnsi="Times New Roman"/>
          <w:sz w:val="28"/>
          <w:szCs w:val="28"/>
        </w:rPr>
        <w:t>детско-юношеская спо</w:t>
      </w:r>
      <w:r w:rsidRPr="00A74CF4">
        <w:rPr>
          <w:rFonts w:ascii="Times New Roman" w:hAnsi="Times New Roman"/>
          <w:sz w:val="28"/>
          <w:szCs w:val="28"/>
        </w:rPr>
        <w:t>р</w:t>
      </w:r>
      <w:r w:rsidRPr="00A74CF4">
        <w:rPr>
          <w:rFonts w:ascii="Times New Roman" w:hAnsi="Times New Roman"/>
          <w:sz w:val="28"/>
          <w:szCs w:val="28"/>
        </w:rPr>
        <w:t>тивная школа.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 xml:space="preserve">В 2016 году количество объединений в организациях дополнительного </w:t>
      </w:r>
      <w:r w:rsidR="007814B3" w:rsidRPr="00A74CF4">
        <w:rPr>
          <w:rFonts w:ascii="Times New Roman" w:hAnsi="Times New Roman"/>
          <w:sz w:val="28"/>
          <w:szCs w:val="28"/>
        </w:rPr>
        <w:t xml:space="preserve">образования составляло 267 или </w:t>
      </w:r>
      <w:r w:rsidRPr="00A74CF4">
        <w:rPr>
          <w:rFonts w:ascii="Times New Roman" w:hAnsi="Times New Roman"/>
          <w:sz w:val="28"/>
          <w:szCs w:val="28"/>
        </w:rPr>
        <w:t xml:space="preserve">0,1% относительно аналогичного периода 2015 года (в 2015 </w:t>
      </w:r>
      <w:r w:rsidR="007814B3" w:rsidRPr="00A74CF4">
        <w:rPr>
          <w:rFonts w:ascii="Times New Roman" w:hAnsi="Times New Roman"/>
          <w:sz w:val="28"/>
          <w:szCs w:val="28"/>
        </w:rPr>
        <w:t xml:space="preserve">году объединений – 268) и 4% </w:t>
      </w:r>
      <w:r w:rsidRPr="00A74CF4">
        <w:rPr>
          <w:rFonts w:ascii="Times New Roman" w:hAnsi="Times New Roman"/>
          <w:sz w:val="28"/>
          <w:szCs w:val="28"/>
        </w:rPr>
        <w:t>относительно аналогичного периода 2014 года (в 2014 году объединений – 255).</w:t>
      </w:r>
    </w:p>
    <w:p w:rsidR="00DB78BB" w:rsidRPr="00DB78BB" w:rsidRDefault="00DB78BB" w:rsidP="00DB78BB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  <w:lang w:bidi="en-US"/>
        </w:rPr>
      </w:pPr>
      <w:r w:rsidRPr="00DB78BB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43430B0E" wp14:editId="7E0BDD9E">
            <wp:extent cx="4953000" cy="2771775"/>
            <wp:effectExtent l="0" t="0" r="0" b="0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Охват обучающихся дополнительным образованием в 2016 году составил 7 266 человек или 0,1% относительно аналогичного периода  2015 года (в 2015 году охват составил 7 275 человек) и 1,3% относительно аналогичного периода 2014 года (в 2014 году охват составил 7 367).</w:t>
      </w:r>
    </w:p>
    <w:p w:rsidR="00B6017D" w:rsidRDefault="00B6017D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7814B3" w:rsidRPr="00DB78BB" w:rsidRDefault="00B6017D" w:rsidP="00B6017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6753FB">
        <w:rPr>
          <w:rFonts w:ascii="Times New Roman" w:eastAsia="Times New Roman" w:hAnsi="Times New Roman"/>
          <w:noProof/>
          <w:sz w:val="20"/>
          <w:szCs w:val="20"/>
          <w:highlight w:val="green"/>
          <w:lang w:eastAsia="ru-RU"/>
        </w:rPr>
        <w:drawing>
          <wp:inline distT="0" distB="0" distL="0" distR="0" wp14:anchorId="65BCAC87" wp14:editId="123395E8">
            <wp:extent cx="6143625" cy="2076450"/>
            <wp:effectExtent l="0" t="0" r="9525" b="19050"/>
            <wp:docPr id="47" name="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Количество педагогов дополнительного образования в 2016 году состав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ло 178 человек или 16,8% отн</w:t>
      </w:r>
      <w:r w:rsidR="007814B3" w:rsidRPr="00A74CF4">
        <w:rPr>
          <w:rFonts w:ascii="Times New Roman" w:hAnsi="Times New Roman"/>
          <w:sz w:val="28"/>
          <w:szCs w:val="28"/>
        </w:rPr>
        <w:t xml:space="preserve">осительно аналогичного периода </w:t>
      </w:r>
      <w:r w:rsidRPr="00A74CF4">
        <w:rPr>
          <w:rFonts w:ascii="Times New Roman" w:hAnsi="Times New Roman"/>
          <w:sz w:val="28"/>
          <w:szCs w:val="28"/>
        </w:rPr>
        <w:t>2015 года (в 2015 году – 208) и 28% относительно аналогичного периода 2014 года (в 2014 году – 228).</w:t>
      </w:r>
    </w:p>
    <w:p w:rsidR="00DB78BB" w:rsidRPr="00A74CF4" w:rsidRDefault="00DB78BB" w:rsidP="00DB78BB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A74CF4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049845E" wp14:editId="0F67C4AC">
            <wp:extent cx="4741545" cy="2501900"/>
            <wp:effectExtent l="0" t="0" r="20955" b="1270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B78BB" w:rsidRPr="00A74CF4" w:rsidRDefault="00DB78BB" w:rsidP="00B60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Средняя заработная плата педагогов дополнительного образ</w:t>
      </w:r>
      <w:r w:rsidR="006753FB" w:rsidRPr="00A74CF4">
        <w:rPr>
          <w:rFonts w:ascii="Times New Roman" w:hAnsi="Times New Roman"/>
          <w:sz w:val="28"/>
          <w:szCs w:val="28"/>
        </w:rPr>
        <w:t>ования в 2016 году составила 21</w:t>
      </w:r>
      <w:r w:rsidRPr="00A74CF4">
        <w:rPr>
          <w:rFonts w:ascii="Times New Roman" w:hAnsi="Times New Roman"/>
          <w:sz w:val="28"/>
          <w:szCs w:val="28"/>
        </w:rPr>
        <w:t>187 руб. или 18% относительно аналогичного периода  2015 года (в 2015 году – 17352 руб.) и 23,1% относительно аналогичного пери</w:t>
      </w:r>
      <w:r w:rsidR="006753FB" w:rsidRPr="00A74CF4">
        <w:rPr>
          <w:rFonts w:ascii="Times New Roman" w:hAnsi="Times New Roman"/>
          <w:sz w:val="28"/>
          <w:szCs w:val="28"/>
        </w:rPr>
        <w:t>ода 2014 года (в 2014 году – 16</w:t>
      </w:r>
      <w:r w:rsidR="00B6017D" w:rsidRPr="00A74CF4">
        <w:rPr>
          <w:rFonts w:ascii="Times New Roman" w:hAnsi="Times New Roman"/>
          <w:sz w:val="28"/>
          <w:szCs w:val="28"/>
        </w:rPr>
        <w:t>276 руб.).</w:t>
      </w:r>
    </w:p>
    <w:p w:rsidR="00DB78BB" w:rsidRPr="00DB78BB" w:rsidRDefault="00DB78BB" w:rsidP="00DB78BB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  <w:lang w:bidi="en-US"/>
        </w:rPr>
      </w:pPr>
      <w:r w:rsidRPr="00DB78BB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4F368CF9" wp14:editId="7ACB1E32">
            <wp:extent cx="4635500" cy="2435225"/>
            <wp:effectExtent l="0" t="0" r="12700" b="22225"/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В 2014, 2015  году в организациях дополнительного образования была проведена оптимизация кадров, что привело к уменьшению количества объед</w:t>
      </w:r>
      <w:r w:rsidRPr="00A74CF4">
        <w:rPr>
          <w:rFonts w:ascii="Times New Roman" w:hAnsi="Times New Roman"/>
          <w:sz w:val="28"/>
          <w:szCs w:val="28"/>
        </w:rPr>
        <w:t>и</w:t>
      </w:r>
      <w:r w:rsidRPr="00A74CF4">
        <w:rPr>
          <w:rFonts w:ascii="Times New Roman" w:hAnsi="Times New Roman"/>
          <w:sz w:val="28"/>
          <w:szCs w:val="28"/>
        </w:rPr>
        <w:t>нений</w:t>
      </w:r>
      <w:r w:rsidR="00577762" w:rsidRPr="00A74CF4">
        <w:rPr>
          <w:rFonts w:ascii="Times New Roman" w:hAnsi="Times New Roman"/>
          <w:sz w:val="28"/>
          <w:szCs w:val="28"/>
        </w:rPr>
        <w:t xml:space="preserve"> и</w:t>
      </w:r>
      <w:r w:rsidRPr="00A74CF4">
        <w:rPr>
          <w:rFonts w:ascii="Times New Roman" w:hAnsi="Times New Roman"/>
          <w:sz w:val="28"/>
          <w:szCs w:val="28"/>
        </w:rPr>
        <w:t xml:space="preserve"> обучающихся в них. 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>Необходимо отметить тот факт, что две организации дополнительного образования не имеют собственных зданий с учебными кабинетами, что также создает определенные трудности. Не все организации им</w:t>
      </w:r>
      <w:r w:rsidR="00577762" w:rsidRPr="00A74CF4">
        <w:rPr>
          <w:rFonts w:ascii="Times New Roman" w:hAnsi="Times New Roman"/>
          <w:sz w:val="28"/>
          <w:szCs w:val="28"/>
        </w:rPr>
        <w:t>еют техническую направленность,</w:t>
      </w:r>
      <w:r w:rsidRPr="00A74CF4">
        <w:rPr>
          <w:rFonts w:ascii="Times New Roman" w:hAnsi="Times New Roman"/>
          <w:sz w:val="28"/>
          <w:szCs w:val="28"/>
        </w:rPr>
        <w:t xml:space="preserve"> связано это с отсутствием специалистов и слабой материально-технической базой. Следует  расширить в организациях дополнительного обр</w:t>
      </w:r>
      <w:r w:rsidRPr="00A74CF4">
        <w:rPr>
          <w:rFonts w:ascii="Times New Roman" w:hAnsi="Times New Roman"/>
          <w:sz w:val="28"/>
          <w:szCs w:val="28"/>
        </w:rPr>
        <w:t>а</w:t>
      </w:r>
      <w:r w:rsidRPr="00A74CF4">
        <w:rPr>
          <w:rFonts w:ascii="Times New Roman" w:hAnsi="Times New Roman"/>
          <w:sz w:val="28"/>
          <w:szCs w:val="28"/>
        </w:rPr>
        <w:t>зования сеть платных дополнительных услуг.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t xml:space="preserve">В 2016 году в МАУДО ЦТ «Пирамида» за счет краевых денежных средств в сумме 200,0 тыс. рублей произведен  текущий ремонт помещений (замена дверных блоков, ремонт полов, стенных панелей, заменен питьевой фонтанчик). На переоборудование учебных кабинетов, приобретение учебной мебели и оргтехники из муниципального бюджета было выделено 258,6 тыс. рублей. 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Однако с введением  федерального государственного стандарта в общ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дополнительным образованием охвачено 7275 детей, что позволяет сделать вывод: дополнительным образованием в целом в муниципальном образовании Тимашевский район задействовано максимальное количество обучающихся и несмотря на снижение количества обучающихся в организациях дополнительного образования повышается качество услуг.</w:t>
      </w:r>
      <w:r w:rsidRPr="00A7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личился охват дополнительным образованием детей из социально-незащищенных семей и детей группы риска, они посещают объединения по и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тересам, участвуют в массовых мероприятиях. Педагоги контролируют их  с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мьи с целью оказания материальной и психологической помощи. Добились </w:t>
      </w:r>
      <w:r w:rsidR="00C356FD" w:rsidRPr="00A74C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100%</w:t>
      </w:r>
      <w:r w:rsidRPr="00A74C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охвата дополнительным образованием обучающихся, стоящих на разли</w:t>
      </w:r>
      <w:r w:rsidRPr="00A74C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r w:rsidRPr="00A74C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ных видах учёта.</w:t>
      </w:r>
    </w:p>
    <w:p w:rsidR="00DB78BB" w:rsidRPr="00A74CF4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Воспитанники организаций дополнительного образования принимают 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тивное участие в конкурсах, фестивалях, спортивных соревнованиях различн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го уровня, по итогам которых становятся победителями и призерами муниц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пальных, региональных, Всероссийских и Международных конкурсов и соре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нованиях. Так, Кривец Константин, обучающийся МБУДО ЦТ «Калейдоскоп» на  </w:t>
      </w:r>
      <w:r w:rsidRPr="00A74CF4"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конкурсе творческих коллективов и солистов «Первые ласточки» получил диплом 1 степени.</w:t>
      </w:r>
      <w:r w:rsidRPr="00A7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74CF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фестивале-конкурсе детского творчества «Поколение талантов»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Бажина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Юлия, обучающаяся МБ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ДО ЦТ «Калейдоскоп»  награждена диплом </w:t>
      </w:r>
      <w:r w:rsidRPr="00A74CF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степени.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в Краснодарском крае проводился конкурс исполнительского мастерства «Дебют с мастером». Воспитанники объединения «Модерн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данс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»  и руководитель объединения Калач О.А. МБУДО ЦТ «Калейдоскоп» в номин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ции «Хореографическое исполнительство» завоевали 1 место.</w:t>
      </w:r>
    </w:p>
    <w:p w:rsidR="00DB78BB" w:rsidRPr="00A74CF4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победу во всероссийском творческом конкурсе «Летняя фантазия» обучающаяся МБУДО ЦТ «Радуга»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Анацкая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 завоевала диплом 1 степ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ни.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Шенцова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победила во Всероссийском экологическом конкурсе «Моя зеленая планета».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Глоба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Виктория, воспитанница заняла 1 место в кра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конкурсе декоративно-прикладного творчества «Моей любимой маме». Значимой стала победа обучающегося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Огородникова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Ярослава 1-е место в кр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евом конкурсе «Моя Кубань – мой дом родной» в номинации «Декоративно-прикладное творчество» этого же центра. </w:t>
      </w:r>
    </w:p>
    <w:p w:rsidR="00DB78BB" w:rsidRPr="00A74CF4" w:rsidRDefault="00DB78BB" w:rsidP="00DB78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Воспитанница центра творчества «Пирамида» Осадчая Юлия  в краевом конкурсе декоративно-прикладного творчества «Новогодняя сказка» так же 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няла 1 место.</w:t>
      </w:r>
      <w:r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Всероссийском конкурсе научно-исследовательских и творч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работ учащихся «Литературная Россия» четверо обучающихся МАУДО ЦТ «Пирамида» награждены дипломами 1 степени: Семик Софья, Ратников Владимир,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Адарюков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Лихман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Александр. </w:t>
      </w:r>
    </w:p>
    <w:p w:rsidR="00DB78BB" w:rsidRPr="00A74CF4" w:rsidRDefault="00DB78BB" w:rsidP="00DB78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Всероссийском конкурсе </w:t>
      </w:r>
      <w:r w:rsidRPr="00A74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юных талантов «Орлята России», который на протяжении многих лет проходит в ВДЦ «Орленок» дипломами 1 степени награждены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Семик Софья и Ратников Владимир обучающиеся этого же центра.</w:t>
      </w:r>
    </w:p>
    <w:p w:rsidR="00DB78BB" w:rsidRPr="00A74CF4" w:rsidRDefault="00DB78BB" w:rsidP="00DB78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краевом конкурсе  учебно – исследовательских проектов школьников «Эврика»,  «ЮНИОР» Малой академии наук учащихся Кубани, защищая свой проект на русском языке Баранов Денис обучающийся МАУДО ЦТ «Пирам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да»  занял 2 место и 3 место, защищая проект на  английском языке. 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CF4">
        <w:rPr>
          <w:rFonts w:ascii="Times New Roman" w:hAnsi="Times New Roman"/>
          <w:sz w:val="28"/>
          <w:szCs w:val="28"/>
        </w:rPr>
        <w:lastRenderedPageBreak/>
        <w:t xml:space="preserve">Воспитанники центров творчества достигают высоких показателей и  личных достижений на краевом, всероссийском и международном уровне. Во всероссийских соревнованиях по боксу «Олимпийские надежды», который проходил в </w:t>
      </w:r>
      <w:proofErr w:type="spellStart"/>
      <w:r w:rsidRPr="00A74CF4">
        <w:rPr>
          <w:rFonts w:ascii="Times New Roman" w:hAnsi="Times New Roman"/>
          <w:sz w:val="28"/>
          <w:szCs w:val="28"/>
        </w:rPr>
        <w:t>г.Касимов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Рязанской области среди девушек 2000-2001 года рожд</w:t>
      </w:r>
      <w:r w:rsidRPr="00A74CF4">
        <w:rPr>
          <w:rFonts w:ascii="Times New Roman" w:hAnsi="Times New Roman"/>
          <w:sz w:val="28"/>
          <w:szCs w:val="28"/>
        </w:rPr>
        <w:t>е</w:t>
      </w:r>
      <w:r w:rsidRPr="00A74CF4">
        <w:rPr>
          <w:rFonts w:ascii="Times New Roman" w:hAnsi="Times New Roman"/>
          <w:sz w:val="28"/>
          <w:szCs w:val="28"/>
        </w:rPr>
        <w:t xml:space="preserve">ния в весовой категории до 65 кг </w:t>
      </w:r>
      <w:proofErr w:type="spellStart"/>
      <w:r w:rsidRPr="00A74CF4">
        <w:rPr>
          <w:rFonts w:ascii="Times New Roman" w:hAnsi="Times New Roman"/>
          <w:sz w:val="28"/>
          <w:szCs w:val="28"/>
        </w:rPr>
        <w:t>Асатрян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CF4">
        <w:rPr>
          <w:rFonts w:ascii="Times New Roman" w:hAnsi="Times New Roman"/>
          <w:sz w:val="28"/>
          <w:szCs w:val="28"/>
        </w:rPr>
        <w:t>Нунэ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обучающейся МБУДО ЦТ «Солнечный город» была вручена грамота Федерации бокса за 3 место. В пе</w:t>
      </w:r>
      <w:r w:rsidRPr="00A74CF4">
        <w:rPr>
          <w:rFonts w:ascii="Times New Roman" w:hAnsi="Times New Roman"/>
          <w:sz w:val="28"/>
          <w:szCs w:val="28"/>
        </w:rPr>
        <w:t>р</w:t>
      </w:r>
      <w:r w:rsidRPr="00A74CF4">
        <w:rPr>
          <w:rFonts w:ascii="Times New Roman" w:hAnsi="Times New Roman"/>
          <w:sz w:val="28"/>
          <w:szCs w:val="28"/>
        </w:rPr>
        <w:t xml:space="preserve">венстве Краснодарского края по боксу среди юниорок воспитанницы МБУДО ЦТ «Солнечный город» </w:t>
      </w:r>
      <w:proofErr w:type="spellStart"/>
      <w:r w:rsidRPr="00A74CF4">
        <w:rPr>
          <w:rFonts w:ascii="Times New Roman" w:hAnsi="Times New Roman"/>
          <w:sz w:val="28"/>
          <w:szCs w:val="28"/>
        </w:rPr>
        <w:t>Скрепцова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Екатерина, </w:t>
      </w:r>
      <w:proofErr w:type="spellStart"/>
      <w:r w:rsidRPr="00A74CF4">
        <w:rPr>
          <w:rFonts w:ascii="Times New Roman" w:hAnsi="Times New Roman"/>
          <w:sz w:val="28"/>
          <w:szCs w:val="28"/>
        </w:rPr>
        <w:t>Асатрян</w:t>
      </w:r>
      <w:proofErr w:type="spellEnd"/>
      <w:r w:rsidRPr="00A74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CF4">
        <w:rPr>
          <w:rFonts w:ascii="Times New Roman" w:hAnsi="Times New Roman"/>
          <w:sz w:val="28"/>
          <w:szCs w:val="28"/>
        </w:rPr>
        <w:t>Нунэ</w:t>
      </w:r>
      <w:proofErr w:type="spellEnd"/>
      <w:r w:rsidRPr="00A74CF4">
        <w:rPr>
          <w:rFonts w:ascii="Times New Roman" w:hAnsi="Times New Roman"/>
          <w:sz w:val="28"/>
          <w:szCs w:val="28"/>
        </w:rPr>
        <w:t>,  Ещенко Яна одержали победу в трех весовых категориях.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апреле 2016 года в г. Краснодаре состоялись финальные соревнования  детской  гандбольной  лиги Краснодарского края «Дебют лига» среди гандб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листов 2005 г. р.  Команда воспитанников МБУДО ДЮСШ, пройдя все предв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рительные этапы,  стала победителем этих соревнований.</w:t>
      </w:r>
    </w:p>
    <w:p w:rsidR="00DB78BB" w:rsidRPr="00A74CF4" w:rsidRDefault="00DB78BB" w:rsidP="00DB78B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4 мая 2016 года в  г. Майкоп Республики Адыгея состоялся  чемпионат и первенство ЮФО по лёгкой атлетике.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Каламай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Анатолий  занял 1 место в мет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копья;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Гудько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Каламай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Анатолий и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Лихоузов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 завоевали  3 место в эстафете 4х100м.</w:t>
      </w:r>
    </w:p>
    <w:p w:rsidR="00DB78BB" w:rsidRPr="00A74CF4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74CF4">
        <w:rPr>
          <w:rFonts w:ascii="Times New Roman" w:eastAsia="Times New Roman" w:hAnsi="Times New Roman"/>
          <w:sz w:val="28"/>
          <w:szCs w:val="28"/>
          <w:lang w:val="en-US" w:eastAsia="ru-RU"/>
        </w:rPr>
        <w:t>XV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фестивале гандбола в соревнованиях среди мал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чиков 2004 г. р. приняли участие 40 команд,  в том числе команда МБУДО ДЮСШ.  Наша команда одержала победу   во всех предварительных встречах   и лишь в финале уступила  команде «Тушино»   г. Москва и заняла второе 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сто.  Лучшими игроками отмечены Захар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Кукуть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 Артур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Прокопец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 Сергей Ильченко.  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Сборная к</w:t>
      </w:r>
      <w:r w:rsidR="00B6017D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оманда юношей 2003 г.р. заняла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1 место в краевых  соревнов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ниях по гандболу, которые проходили  в г. Сочи.</w:t>
      </w:r>
    </w:p>
    <w:p w:rsidR="00DB78BB" w:rsidRPr="00A74CF4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недавно открывшегося отделения – прыжки на батуте  п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казывают свои первые результаты. В краевых соревнованиях  успешно выст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пают  юные спортсмены по программе третьего  юношеского разряда Гуле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Дмитрий - 1 место,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Мхитарян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Павел - 2 место. По программе первого  юношеского разряда 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Шкиль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Вероника - 2 место,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Мацко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- 3 место.</w:t>
      </w:r>
    </w:p>
    <w:p w:rsidR="00B6017D" w:rsidRPr="00A74CF4" w:rsidRDefault="00DB78BB" w:rsidP="00A74C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CF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первенстве Краснодарского края по гребному спорту</w:t>
      </w:r>
      <w:r w:rsidRPr="00A7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наши воспитанн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ки показали высокие результаты. Победителями стали: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Брыков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 и 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щенко Данил (двойка парная);  Левченко Вадим (одиночка); 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Брыкова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Мар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няк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 Толстихина (четверка парная).</w:t>
      </w:r>
    </w:p>
    <w:p w:rsidR="00C434B4" w:rsidRDefault="00C434B4" w:rsidP="00DB78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DB78BB" w:rsidRPr="00A74CF4" w:rsidRDefault="00C356FD" w:rsidP="00DB78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2.3.4. </w:t>
      </w:r>
      <w:r w:rsidR="00DB78BB"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медицинских услуг</w:t>
      </w:r>
    </w:p>
    <w:p w:rsidR="00DB78BB" w:rsidRPr="00A74CF4" w:rsidRDefault="00DB78BB" w:rsidP="00DB78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В Тимашевском районе рынок медицинских услуг представлен двумя крупными ЛПУ: МБУЗ «Тимашевская ЦРБ», НУЗ «Узловая больница на 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ст.Тимашевская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» ОАО «РЖД», 16 частными медицинскими организациями (юридические лица), и услугами 6 индивидуальных предпринимателей оказ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вающими населению амбулаторно-поликлинические услуги, услуги по стом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тологии, УЗИ, ЭКГ, проведению МРТ обследования и гемодиализа. Частные организации составляют 95,9% от общего числа ЛПУ. Муниципальные ЛПУ имеются во всех сельских и городском поселениях. Частные ЛПУ имеются только в 4 поселениях района (городском, Новокорсунском. Медведовском, 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говском), причем в городском поселении сосредоточены 74%  ЛПУ.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Негосударственное учреждение здравоохранения </w:t>
      </w:r>
      <w:r w:rsidR="006358FD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НУЗ «Узловая больница на  </w:t>
      </w:r>
      <w:proofErr w:type="spellStart"/>
      <w:r w:rsidR="006358FD" w:rsidRPr="00A74CF4">
        <w:rPr>
          <w:rFonts w:ascii="Times New Roman" w:eastAsia="Times New Roman" w:hAnsi="Times New Roman"/>
          <w:sz w:val="28"/>
          <w:szCs w:val="28"/>
          <w:lang w:eastAsia="ru-RU"/>
        </w:rPr>
        <w:t>ст.Тимашевская</w:t>
      </w:r>
      <w:proofErr w:type="spellEnd"/>
      <w:r w:rsidR="006358FD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» ОАО «РЖД»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участвует в системе ОМС. Доля прикрепле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ного населения района составляет 3% от общего числа жителей района. Это в основном сотрудники РЖД и члены их семей.</w:t>
      </w:r>
    </w:p>
    <w:p w:rsidR="00DB78BB" w:rsidRPr="00A74CF4" w:rsidRDefault="006358FD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Аптечная сеть Тимашевского района представлена 27 частными апте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ными организациями и 1 государственной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аптек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. Имеется 1 круглосуточная аптека, расположенная в центре города возле ЦРБ. Доля частных аптечных о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ганизаций составляет 96,5%. Аптечные организации имеются во всех поселен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ях, но основная доля (64,8%) сосредоточена в городском поселении. </w:t>
      </w:r>
    </w:p>
    <w:p w:rsidR="00DB78BB" w:rsidRPr="00A74CF4" w:rsidRDefault="00DB78BB" w:rsidP="00DB7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Ежегодно открываются кабинеты частных врачей, аптечные организации. Так в 2016 году открылись 2 частных медицинских учреждения (в городском поселении) и 4 частные аптеки (3 – в городском поселении и 1 в Роговском сельском поселении). Укомплектованность кадрами частных ЛПУ – 100 %, м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ниципальных – 60%.</w:t>
      </w:r>
    </w:p>
    <w:p w:rsidR="00DB78BB" w:rsidRPr="00A74CF4" w:rsidRDefault="00DB78BB" w:rsidP="00DB7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коечный фонд района – 678</w:t>
      </w:r>
      <w:r w:rsidRPr="00A7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коек, мощность амбулаторно-поликлинических учреждений 1693 посещений в смену.</w:t>
      </w:r>
    </w:p>
    <w:p w:rsidR="00DB78BB" w:rsidRPr="00A74CF4" w:rsidRDefault="00DB78BB" w:rsidP="00DB7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составе ЦРБ 10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ФАПов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, 5 врачебных амбулаторий.</w:t>
      </w:r>
    </w:p>
    <w:p w:rsidR="00DB78BB" w:rsidRPr="00A74CF4" w:rsidRDefault="00A74CF4" w:rsidP="0024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С целью улучшения качества медицинского обслуживания и лекарстве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ного обеспечения населения, администрация района систематически проводит мониторинги ценообразования на ЖНВЛС, организацию работы по предотвр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щению поступления фальсифицированных лекарственных средств в аптечных учреждениях муниципального образования. Совместно с руководителями ЛПУ проводятся административные обходы для определения уровня удовлетворе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ности населения качеством медицинских услуг. Результаты и анализ подобных мероприятий обсуждается на совещаниях, заседаниях комиссий, медицинского Совета, в работе которых принимают участие представители организаций нез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78BB" w:rsidRPr="00A74CF4">
        <w:rPr>
          <w:rFonts w:ascii="Times New Roman" w:eastAsia="Times New Roman" w:hAnsi="Times New Roman"/>
          <w:sz w:val="28"/>
          <w:szCs w:val="28"/>
          <w:lang w:eastAsia="ru-RU"/>
        </w:rPr>
        <w:t>висимо от форм собственности.</w:t>
      </w:r>
    </w:p>
    <w:p w:rsidR="00DB78BB" w:rsidRPr="00A74CF4" w:rsidRDefault="00DB78BB" w:rsidP="0024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F3F" w:rsidRPr="00A74CF4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имеются к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адровые проблемы в муниципальном здр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воохранении (укомплектованность 60%). В основном не хватает специалистов узкой специализации: онколог, неонатолог, вр</w:t>
      </w:r>
      <w:r w:rsidR="00D27F3F" w:rsidRPr="00A74CF4">
        <w:rPr>
          <w:rFonts w:ascii="Times New Roman" w:eastAsia="Times New Roman" w:hAnsi="Times New Roman"/>
          <w:sz w:val="28"/>
          <w:szCs w:val="28"/>
          <w:lang w:eastAsia="ru-RU"/>
        </w:rPr>
        <w:t>ачей функциональной диагност</w:t>
      </w:r>
      <w:r w:rsidR="00D27F3F" w:rsidRPr="00A74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7F3F" w:rsidRPr="00A74CF4">
        <w:rPr>
          <w:rFonts w:ascii="Times New Roman" w:eastAsia="Times New Roman" w:hAnsi="Times New Roman"/>
          <w:sz w:val="28"/>
          <w:szCs w:val="28"/>
          <w:lang w:eastAsia="ru-RU"/>
        </w:rPr>
        <w:t>ки; кадровая обеспеченность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врачами терапевтами более 50% врачей - пенси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неры или пред пенсионного возраста.</w:t>
      </w:r>
    </w:p>
    <w:p w:rsidR="00DB78BB" w:rsidRPr="00A74CF4" w:rsidRDefault="00DB78BB" w:rsidP="00245B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 целью решения данной проблемы</w:t>
      </w:r>
      <w:r w:rsidR="00D27F3F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муниципалитет участвует в пр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грамме «Земский доктор». В рамках этой программы ЛПУ сельских посел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ний были обеспечены:</w:t>
      </w:r>
    </w:p>
    <w:p w:rsidR="00DB78BB" w:rsidRPr="00A74CF4" w:rsidRDefault="00DB78BB" w:rsidP="00245B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2014 год – 3 врачами,</w:t>
      </w:r>
    </w:p>
    <w:p w:rsidR="00DB78BB" w:rsidRPr="00A74CF4" w:rsidRDefault="00DB78BB" w:rsidP="00245B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2015 год -  5 врачами,</w:t>
      </w:r>
    </w:p>
    <w:p w:rsidR="00DB78BB" w:rsidRPr="00A74CF4" w:rsidRDefault="00DB78BB" w:rsidP="00245BB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2016 год -  6 врачей</w:t>
      </w:r>
    </w:p>
    <w:p w:rsidR="00DB78BB" w:rsidRPr="00A74CF4" w:rsidRDefault="00DB78BB" w:rsidP="00245B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В муниципальной программе «Развитие здравоохранения» предусмотр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ны меры социальной поддержки медицинского персонала: выделены деньги на приобретение квартиры для специалиста, прибывшего на работу из другого р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гиона. </w:t>
      </w:r>
    </w:p>
    <w:p w:rsidR="00245BB1" w:rsidRPr="00A74CF4" w:rsidRDefault="00245BB1" w:rsidP="00245BB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Стабильно развивается частное здравоохранение. В целях оказания с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действия частным предпринимателям при необходимости проводятся консул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тации об условиях лицензирования медицинской и фармацевтической деятел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ности, законодательства в области здравоохранения.</w:t>
      </w:r>
    </w:p>
    <w:p w:rsidR="00DB78BB" w:rsidRPr="00A74CF4" w:rsidRDefault="00DB78BB" w:rsidP="00245B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целью улучшения качества оказания медицинских услуг населению за чет краевых и муниципальных средств на условиях софинансирования  планируе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ся строительство 5 офисов врача общей практики в: </w:t>
      </w:r>
    </w:p>
    <w:p w:rsidR="00DB78BB" w:rsidRPr="00A74CF4" w:rsidRDefault="00DB78BB" w:rsidP="00245B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Дербентском сельском поселении, х. Мирный;</w:t>
      </w:r>
    </w:p>
    <w:p w:rsidR="00DB78BB" w:rsidRPr="00A74CF4" w:rsidRDefault="00DB78BB" w:rsidP="00245B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Днепровском сельском поседении, х. Ленина;</w:t>
      </w:r>
    </w:p>
    <w:p w:rsidR="00DB78BB" w:rsidRPr="00A74CF4" w:rsidRDefault="00DB78BB" w:rsidP="00245B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Незаймановском сельском поселении, х. </w:t>
      </w:r>
      <w:proofErr w:type="spellStart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Стринский</w:t>
      </w:r>
      <w:proofErr w:type="spellEnd"/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78BB" w:rsidRPr="00A74CF4" w:rsidRDefault="00DB78BB" w:rsidP="00245B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Поселковом сельском поселении. пос. Комсомольский;</w:t>
      </w:r>
    </w:p>
    <w:p w:rsidR="00DB78BB" w:rsidRPr="00A74CF4" w:rsidRDefault="00DB78BB" w:rsidP="00245B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- сельском поселении Кубанец, х. Беднягина.</w:t>
      </w:r>
    </w:p>
    <w:p w:rsidR="00DB78BB" w:rsidRPr="00A74CF4" w:rsidRDefault="00DB78BB" w:rsidP="00245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 целью решения кадровой проблемы в 2017 году планируется направить в медицинский университет 5 человек</w:t>
      </w:r>
      <w:r w:rsidR="00245BB1"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 - выпускников школ района, а также п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ривлекать специалистов из других регионов с условием предоставления сл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жебного жилья.</w:t>
      </w:r>
    </w:p>
    <w:p w:rsidR="00245BB1" w:rsidRPr="00A74CF4" w:rsidRDefault="00245BB1" w:rsidP="00C434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проведенного мониторинга рынка оказания медицинских услуг  установлено, что из 716 опрошенных человек считают, что вышеназва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услуг много – 132 человек (18,4%), достаточно 322 человека (45%), мало - 241 человек  (33,7%), нет совсем – 21 человека (2,9%)  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ab/>
        <w:t>Относительно кач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ства оказания мед. услуг: удовлетворены 351 человек (49,2%), скорее удовл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CF4">
        <w:rPr>
          <w:rFonts w:ascii="Times New Roman" w:eastAsia="Times New Roman" w:hAnsi="Times New Roman"/>
          <w:sz w:val="28"/>
          <w:szCs w:val="28"/>
          <w:lang w:eastAsia="ru-RU"/>
        </w:rPr>
        <w:t>творены – 90 человек (12,7%), скорее не удовлетворены – 136 человек (18,6%), не удовлетворены – 139 человек (19,6%).</w:t>
      </w:r>
    </w:p>
    <w:p w:rsidR="00DB78BB" w:rsidRPr="00A74CF4" w:rsidRDefault="00245BB1" w:rsidP="00DB78BB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A74CF4">
        <w:rPr>
          <w:rFonts w:ascii="Times New Roman" w:hAnsi="Times New Roman"/>
          <w:b/>
          <w:sz w:val="28"/>
          <w:szCs w:val="20"/>
          <w:lang w:bidi="en-US"/>
        </w:rPr>
        <w:t xml:space="preserve">2.3.5. </w:t>
      </w:r>
      <w:r w:rsidR="00DB78BB" w:rsidRPr="00A74CF4">
        <w:rPr>
          <w:rFonts w:ascii="Times New Roman" w:hAnsi="Times New Roman"/>
          <w:b/>
          <w:sz w:val="28"/>
          <w:szCs w:val="20"/>
          <w:lang w:bidi="en-US"/>
        </w:rPr>
        <w:t>Рынок услуг психолого-педагогического сопровождения детей с огр</w:t>
      </w:r>
      <w:r w:rsidR="00DB78BB" w:rsidRPr="00A74CF4">
        <w:rPr>
          <w:rFonts w:ascii="Times New Roman" w:hAnsi="Times New Roman"/>
          <w:b/>
          <w:sz w:val="28"/>
          <w:szCs w:val="20"/>
          <w:lang w:bidi="en-US"/>
        </w:rPr>
        <w:t>а</w:t>
      </w:r>
      <w:r w:rsidR="00DB78BB" w:rsidRPr="00A74CF4">
        <w:rPr>
          <w:rFonts w:ascii="Times New Roman" w:hAnsi="Times New Roman"/>
          <w:b/>
          <w:sz w:val="28"/>
          <w:szCs w:val="20"/>
          <w:lang w:bidi="en-US"/>
        </w:rPr>
        <w:t>ниченными возможностями здоровья.</w:t>
      </w:r>
    </w:p>
    <w:p w:rsidR="00DB78BB" w:rsidRPr="00A74CF4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A74CF4">
        <w:rPr>
          <w:rFonts w:ascii="Times New Roman" w:hAnsi="Times New Roman"/>
          <w:sz w:val="28"/>
          <w:szCs w:val="20"/>
          <w:lang w:bidi="en-US"/>
        </w:rPr>
        <w:t>На территории Тимашевского района находится один центр психолого-медико-социального сопровождения.</w:t>
      </w:r>
    </w:p>
    <w:p w:rsidR="00C434B4" w:rsidRPr="00A74CF4" w:rsidRDefault="00DB78BB" w:rsidP="00C43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A74CF4">
        <w:rPr>
          <w:rFonts w:ascii="Times New Roman" w:hAnsi="Times New Roman"/>
          <w:sz w:val="28"/>
          <w:szCs w:val="20"/>
          <w:lang w:bidi="en-US"/>
        </w:rPr>
        <w:t>В муниципальном образовании Тимашевский район в дошкольных и школьных образовательных организациях обучаются 17386 детей в возрасте от 0 -18 лет из них числ</w:t>
      </w:r>
      <w:r w:rsidR="00F23321" w:rsidRPr="00A74CF4">
        <w:rPr>
          <w:rFonts w:ascii="Times New Roman" w:hAnsi="Times New Roman"/>
          <w:sz w:val="28"/>
          <w:szCs w:val="20"/>
          <w:lang w:bidi="en-US"/>
        </w:rPr>
        <w:t>енность детей с ОВЗ составляет 556 человек.</w:t>
      </w:r>
    </w:p>
    <w:p w:rsidR="00C434B4" w:rsidRDefault="00C434B4" w:rsidP="00C43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green"/>
          <w:lang w:bidi="en-US"/>
        </w:rPr>
      </w:pPr>
    </w:p>
    <w:p w:rsidR="00F23321" w:rsidRPr="00A74CF4" w:rsidRDefault="00F23321" w:rsidP="00F233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A74CF4">
        <w:rPr>
          <w:rFonts w:ascii="Times New Roman" w:hAnsi="Times New Roman"/>
          <w:b/>
          <w:sz w:val="28"/>
          <w:szCs w:val="20"/>
          <w:lang w:bidi="en-US"/>
        </w:rPr>
        <w:t>Количество детей с ОВЗ, человек</w:t>
      </w:r>
    </w:p>
    <w:p w:rsidR="00A74CF4" w:rsidRPr="00B129C2" w:rsidRDefault="00DB78BB" w:rsidP="00B129C2">
      <w:pPr>
        <w:spacing w:before="200" w:after="20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  <w:lang w:bidi="en-US"/>
        </w:rPr>
      </w:pPr>
      <w:r w:rsidRPr="00DB78BB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7F4E49B6" wp14:editId="796EB523">
            <wp:extent cx="4829175" cy="2247900"/>
            <wp:effectExtent l="0" t="0" r="9525" b="1905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B78BB" w:rsidRPr="00A74CF4" w:rsidRDefault="00F23321" w:rsidP="00F23321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A74CF4">
        <w:rPr>
          <w:rFonts w:ascii="Times New Roman" w:hAnsi="Times New Roman"/>
          <w:b/>
          <w:sz w:val="28"/>
          <w:szCs w:val="20"/>
          <w:lang w:bidi="en-US"/>
        </w:rPr>
        <w:t>Численность детей с ОВЗ дошкольного возраста, человек</w:t>
      </w:r>
    </w:p>
    <w:p w:rsidR="00DB78BB" w:rsidRPr="00DB78BB" w:rsidRDefault="00DB78BB" w:rsidP="00DB78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B78BB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lastRenderedPageBreak/>
        <w:drawing>
          <wp:inline distT="0" distB="0" distL="0" distR="0" wp14:anchorId="18091748" wp14:editId="2FCEDB68">
            <wp:extent cx="4086225" cy="2238375"/>
            <wp:effectExtent l="0" t="0" r="0" b="0"/>
            <wp:docPr id="33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B78BB" w:rsidRPr="00DB78BB" w:rsidRDefault="00DB78BB" w:rsidP="00DB78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B78BB" w:rsidRPr="00B129C2" w:rsidRDefault="00F23321" w:rsidP="00F23321">
      <w:pPr>
        <w:spacing w:before="200" w:after="200" w:line="240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B129C2">
        <w:rPr>
          <w:rFonts w:ascii="Times New Roman" w:hAnsi="Times New Roman"/>
          <w:b/>
          <w:sz w:val="28"/>
          <w:szCs w:val="20"/>
          <w:lang w:bidi="en-US"/>
        </w:rPr>
        <w:t>Численность детей с ОВЗ ш</w:t>
      </w:r>
      <w:r w:rsidR="00DB78BB" w:rsidRPr="00B129C2">
        <w:rPr>
          <w:rFonts w:ascii="Times New Roman" w:hAnsi="Times New Roman"/>
          <w:b/>
          <w:sz w:val="28"/>
          <w:szCs w:val="20"/>
          <w:lang w:bidi="en-US"/>
        </w:rPr>
        <w:t>кольного возраста</w:t>
      </w:r>
      <w:r w:rsidRPr="00B129C2">
        <w:rPr>
          <w:rFonts w:ascii="Times New Roman" w:hAnsi="Times New Roman"/>
          <w:b/>
          <w:sz w:val="28"/>
          <w:szCs w:val="20"/>
          <w:lang w:bidi="en-US"/>
        </w:rPr>
        <w:t xml:space="preserve">, человек </w:t>
      </w:r>
    </w:p>
    <w:p w:rsidR="00DB78BB" w:rsidRPr="00DB78BB" w:rsidRDefault="00DB78BB" w:rsidP="00DB78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B78BB">
        <w:rPr>
          <w:rFonts w:ascii="Times New Roman" w:eastAsia="Times New Roman" w:hAnsi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2DC3EBBD" wp14:editId="50378C06">
            <wp:extent cx="4486275" cy="2200275"/>
            <wp:effectExtent l="0" t="0" r="0" b="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B78BB" w:rsidRPr="00DB78BB" w:rsidRDefault="00DB78BB" w:rsidP="00DB78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B78BB" w:rsidRPr="00B129C2" w:rsidRDefault="00DB78BB" w:rsidP="00DB78BB">
      <w:pPr>
        <w:spacing w:before="200" w:after="20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>В составе центра работает территориальная ПМПК, которая проводит комплексную диагностику и определяет образовательный маршрут для детей с ОВЗ и испытывающими трудности в обучении.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>Центр полностью перекрывает потребности рынка услуг в этой области при комплектовании специализированных групп дошкольных учреждений, определения образовательного маршрута для детей с ОВЗ и испытывающими трудности в обучении.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>Непосредственно в Центре проводятся занятия с детьми по развитию и коррекции с 41 воспитанником в форме групповых и индивидуальных занятий.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 xml:space="preserve">Центр охватывает психодиагностической, психопрофилактической, </w:t>
      </w:r>
      <w:proofErr w:type="spellStart"/>
      <w:r w:rsidRPr="00B129C2">
        <w:rPr>
          <w:rFonts w:ascii="Times New Roman" w:hAnsi="Times New Roman"/>
          <w:sz w:val="28"/>
          <w:szCs w:val="20"/>
          <w:lang w:bidi="en-US"/>
        </w:rPr>
        <w:t>пс</w:t>
      </w:r>
      <w:r w:rsidRPr="00B129C2">
        <w:rPr>
          <w:rFonts w:ascii="Times New Roman" w:hAnsi="Times New Roman"/>
          <w:sz w:val="28"/>
          <w:szCs w:val="20"/>
          <w:lang w:bidi="en-US"/>
        </w:rPr>
        <w:t>и</w:t>
      </w:r>
      <w:r w:rsidRPr="00B129C2">
        <w:rPr>
          <w:rFonts w:ascii="Times New Roman" w:hAnsi="Times New Roman"/>
          <w:sz w:val="28"/>
          <w:szCs w:val="20"/>
          <w:lang w:bidi="en-US"/>
        </w:rPr>
        <w:t>хоконсультативной</w:t>
      </w:r>
      <w:proofErr w:type="spellEnd"/>
      <w:r w:rsidRPr="00B129C2">
        <w:rPr>
          <w:rFonts w:ascii="Times New Roman" w:hAnsi="Times New Roman"/>
          <w:sz w:val="28"/>
          <w:szCs w:val="20"/>
          <w:lang w:bidi="en-US"/>
        </w:rPr>
        <w:t xml:space="preserve"> деятельностью все образовательные организации района.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>Проведенные мониторинги качества предоставления данной услуги пок</w:t>
      </w:r>
      <w:r w:rsidRPr="00B129C2">
        <w:rPr>
          <w:rFonts w:ascii="Times New Roman" w:hAnsi="Times New Roman"/>
          <w:sz w:val="28"/>
          <w:szCs w:val="20"/>
          <w:lang w:bidi="en-US"/>
        </w:rPr>
        <w:t>а</w:t>
      </w:r>
      <w:r w:rsidRPr="00B129C2">
        <w:rPr>
          <w:rFonts w:ascii="Times New Roman" w:hAnsi="Times New Roman"/>
          <w:sz w:val="28"/>
          <w:szCs w:val="20"/>
          <w:lang w:bidi="en-US"/>
        </w:rPr>
        <w:t>зывают, что потребители довольны качеством и количеством предоставляемых услуг.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bidi="en-US"/>
        </w:rPr>
      </w:pPr>
      <w:r w:rsidRPr="00B129C2">
        <w:rPr>
          <w:rFonts w:ascii="Times New Roman" w:hAnsi="Times New Roman"/>
          <w:sz w:val="28"/>
          <w:szCs w:val="20"/>
          <w:lang w:bidi="en-US"/>
        </w:rPr>
        <w:t xml:space="preserve">С 1 сентября 2016 года введены в действие 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Федеральные государстве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н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ные образовательные стандарты (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далее - ФГОС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 xml:space="preserve">) </w:t>
      </w:r>
      <w:r w:rsidRPr="00B129C2">
        <w:rPr>
          <w:rFonts w:ascii="Times New Roman" w:hAnsi="Times New Roman"/>
          <w:sz w:val="28"/>
          <w:szCs w:val="20"/>
          <w:lang w:bidi="en-US"/>
        </w:rPr>
        <w:t xml:space="preserve">для детей с 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 xml:space="preserve"> ограниченными возможностями здоровья (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далее-</w:t>
      </w:r>
      <w:r w:rsidRPr="00B129C2">
        <w:rPr>
          <w:rFonts w:ascii="Times New Roman" w:hAnsi="Times New Roman"/>
          <w:sz w:val="28"/>
          <w:szCs w:val="20"/>
          <w:lang w:bidi="en-US"/>
        </w:rPr>
        <w:t>ОВЗ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) и ФГОС О для умственно отсталых д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е</w:t>
      </w:r>
      <w:r w:rsidR="00B6017D" w:rsidRPr="00B129C2">
        <w:rPr>
          <w:rFonts w:ascii="Times New Roman" w:hAnsi="Times New Roman"/>
          <w:sz w:val="28"/>
          <w:szCs w:val="20"/>
          <w:lang w:bidi="en-US"/>
        </w:rPr>
        <w:t>тей</w:t>
      </w:r>
      <w:r w:rsidRPr="00B129C2">
        <w:rPr>
          <w:rFonts w:ascii="Times New Roman" w:hAnsi="Times New Roman"/>
          <w:sz w:val="28"/>
          <w:szCs w:val="20"/>
          <w:lang w:bidi="en-US"/>
        </w:rPr>
        <w:t>. Сотрудники центра, выступили с докладами перед директорами школ, з</w:t>
      </w:r>
      <w:r w:rsidRPr="00B129C2">
        <w:rPr>
          <w:rFonts w:ascii="Times New Roman" w:hAnsi="Times New Roman"/>
          <w:sz w:val="28"/>
          <w:szCs w:val="20"/>
          <w:lang w:bidi="en-US"/>
        </w:rPr>
        <w:t>а</w:t>
      </w:r>
      <w:r w:rsidRPr="00B129C2">
        <w:rPr>
          <w:rFonts w:ascii="Times New Roman" w:hAnsi="Times New Roman"/>
          <w:sz w:val="28"/>
          <w:szCs w:val="20"/>
          <w:lang w:bidi="en-US"/>
        </w:rPr>
        <w:t xml:space="preserve">вучами, учителями, педагогами-психологами, социальными педагогами по </w:t>
      </w:r>
      <w:r w:rsidRPr="00B129C2">
        <w:rPr>
          <w:rFonts w:ascii="Times New Roman" w:hAnsi="Times New Roman"/>
          <w:sz w:val="28"/>
          <w:szCs w:val="20"/>
          <w:lang w:bidi="en-US"/>
        </w:rPr>
        <w:lastRenderedPageBreak/>
        <w:t>практическому внедрению новых ФГОС ОВЗ в школы. Были проведены гру</w:t>
      </w:r>
      <w:r w:rsidRPr="00B129C2">
        <w:rPr>
          <w:rFonts w:ascii="Times New Roman" w:hAnsi="Times New Roman"/>
          <w:sz w:val="28"/>
          <w:szCs w:val="20"/>
          <w:lang w:bidi="en-US"/>
        </w:rPr>
        <w:t>п</w:t>
      </w:r>
      <w:r w:rsidRPr="00B129C2">
        <w:rPr>
          <w:rFonts w:ascii="Times New Roman" w:hAnsi="Times New Roman"/>
          <w:sz w:val="28"/>
          <w:szCs w:val="20"/>
          <w:lang w:bidi="en-US"/>
        </w:rPr>
        <w:t>повые и индивидуальные консультации с завучами и учителями. Заключены договоры с тремя школами, где нет необходимых специалистов, по сетевому взаимодействию, с целью выполнения коррекционной части программ для учащихся с ОВЗ. Сотрудниками Центра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 xml:space="preserve"> психолого-медико социального сопр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о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вождения</w:t>
      </w:r>
      <w:r w:rsidRPr="00B129C2">
        <w:rPr>
          <w:rFonts w:ascii="Times New Roman" w:hAnsi="Times New Roman"/>
          <w:sz w:val="28"/>
          <w:szCs w:val="20"/>
          <w:lang w:bidi="en-US"/>
        </w:rPr>
        <w:t xml:space="preserve"> 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(далее-</w:t>
      </w:r>
      <w:r w:rsidRPr="00B129C2">
        <w:rPr>
          <w:rFonts w:ascii="Times New Roman" w:hAnsi="Times New Roman"/>
          <w:sz w:val="28"/>
          <w:szCs w:val="20"/>
          <w:lang w:bidi="en-US"/>
        </w:rPr>
        <w:t>ПМСС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)</w:t>
      </w:r>
      <w:r w:rsidRPr="00B129C2">
        <w:rPr>
          <w:rFonts w:ascii="Times New Roman" w:hAnsi="Times New Roman"/>
          <w:sz w:val="28"/>
          <w:szCs w:val="20"/>
          <w:lang w:bidi="en-US"/>
        </w:rPr>
        <w:t xml:space="preserve"> разработаны коррекционные части 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 xml:space="preserve">адаптированной основной образовательной программы (далее - </w:t>
      </w:r>
      <w:r w:rsidRPr="00B129C2">
        <w:rPr>
          <w:rFonts w:ascii="Times New Roman" w:hAnsi="Times New Roman"/>
          <w:sz w:val="28"/>
          <w:szCs w:val="20"/>
          <w:lang w:bidi="en-US"/>
        </w:rPr>
        <w:t>АООП</w:t>
      </w:r>
      <w:r w:rsidR="007F3EC1" w:rsidRPr="00B129C2">
        <w:rPr>
          <w:rFonts w:ascii="Times New Roman" w:hAnsi="Times New Roman"/>
          <w:sz w:val="28"/>
          <w:szCs w:val="20"/>
          <w:lang w:bidi="en-US"/>
        </w:rPr>
        <w:t>)</w:t>
      </w:r>
      <w:r w:rsidRPr="00B129C2">
        <w:rPr>
          <w:rFonts w:ascii="Times New Roman" w:hAnsi="Times New Roman"/>
          <w:sz w:val="28"/>
          <w:szCs w:val="20"/>
          <w:lang w:bidi="en-US"/>
        </w:rPr>
        <w:t xml:space="preserve"> для детей с ОВЗ в шк</w:t>
      </w:r>
      <w:r w:rsidRPr="00B129C2">
        <w:rPr>
          <w:rFonts w:ascii="Times New Roman" w:hAnsi="Times New Roman"/>
          <w:sz w:val="28"/>
          <w:szCs w:val="20"/>
          <w:lang w:bidi="en-US"/>
        </w:rPr>
        <w:t>о</w:t>
      </w:r>
      <w:r w:rsidRPr="00B129C2">
        <w:rPr>
          <w:rFonts w:ascii="Times New Roman" w:hAnsi="Times New Roman"/>
          <w:sz w:val="28"/>
          <w:szCs w:val="20"/>
          <w:lang w:bidi="en-US"/>
        </w:rPr>
        <w:t>лах.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1B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целью улучшения качества, развития, расширения сферы услуг псих</w:t>
      </w:r>
      <w:r w:rsidRPr="006A1B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6A1B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лого-п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едагогического сопровождения детей с ограниченными возможностями здоровья в районе работает  Ресурсный центр сопровождения инклюзивного образования на базе</w:t>
      </w:r>
      <w:r w:rsidRPr="00B12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ГБОУ школы-интерната ст. Медведовской, совместно с МБОУ Центр ПМСС "С любовью к детям г</w:t>
      </w:r>
      <w:r w:rsidR="007F3EC1"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Тимашевск. Данный ресурсный центр призван решать методические проблемы организации и проведения ко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рекционной работы, а так же осуществлять сетевое взаимодействие со сто пр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центным охватом  образовательных учреждений района. 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2016 году на базе центра были проведены: межрайоный и районный  семинары для учителей начальных классов по введению ФГОС с ОВЗ. 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Значительно активизировалась работа ПМП консилиумов в образов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тельных организациях района: 19 – в школах, 20 – в дошкольных учреждениях.</w:t>
      </w:r>
    </w:p>
    <w:p w:rsidR="00DB78BB" w:rsidRPr="00B129C2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связи увеличением количества детей с аутистическим спектром разр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батываются индивидуальные учебные планы, обобщается опыт работы с да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ными детьми, обучаются специалисты, создаются условия для обучения.</w:t>
      </w:r>
    </w:p>
    <w:p w:rsidR="00DB78BB" w:rsidRPr="00DB78BB" w:rsidRDefault="00DB78BB" w:rsidP="00DB7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лучшей организации деятельности Центра ПМСС «С любовью к д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тям» необходимо увеличить количество помещений для групповых и индив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B12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дуальных занятий с детьми.</w:t>
      </w:r>
    </w:p>
    <w:p w:rsidR="004E6C47" w:rsidRDefault="004E6C47" w:rsidP="00C434B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00253D" w:rsidRPr="009E6071" w:rsidRDefault="007F20DD" w:rsidP="000025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2.3.6. </w:t>
      </w:r>
      <w:r w:rsidR="0000253D" w:rsidRPr="009E6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Рынок услуг в сфере культуры</w:t>
      </w:r>
    </w:p>
    <w:p w:rsidR="007F20DD" w:rsidRPr="009E6071" w:rsidRDefault="007F20DD" w:rsidP="0000253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0253D" w:rsidRPr="009E6071" w:rsidRDefault="0000253D" w:rsidP="00002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>Культура Тимашевского района представлена 49 учреждениями, в том числе:</w:t>
      </w:r>
    </w:p>
    <w:p w:rsidR="0000253D" w:rsidRPr="009E6071" w:rsidRDefault="0000253D" w:rsidP="0000253D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>-</w:t>
      </w:r>
      <w:r w:rsidRPr="009E6071">
        <w:rPr>
          <w:rFonts w:ascii="Times New Roman" w:hAnsi="Times New Roman"/>
          <w:color w:val="000000"/>
          <w:sz w:val="28"/>
          <w:szCs w:val="28"/>
        </w:rPr>
        <w:tab/>
        <w:t>21</w:t>
      </w:r>
      <w:r w:rsidR="007F20DD" w:rsidRPr="009E6071">
        <w:rPr>
          <w:rFonts w:ascii="Times New Roman" w:hAnsi="Times New Roman"/>
          <w:color w:val="000000"/>
          <w:sz w:val="28"/>
          <w:szCs w:val="28"/>
        </w:rPr>
        <w:t xml:space="preserve"> клубное учреждение</w:t>
      </w:r>
      <w:r w:rsidRPr="009E6071">
        <w:rPr>
          <w:rFonts w:ascii="Times New Roman" w:hAnsi="Times New Roman"/>
          <w:color w:val="000000"/>
          <w:sz w:val="28"/>
          <w:szCs w:val="28"/>
        </w:rPr>
        <w:t>;</w:t>
      </w:r>
    </w:p>
    <w:p w:rsidR="0000253D" w:rsidRPr="009E6071" w:rsidRDefault="00B129C2" w:rsidP="0000253D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 xml:space="preserve">- 3 </w:t>
      </w:r>
      <w:r w:rsidR="0000253D" w:rsidRPr="009E6071">
        <w:rPr>
          <w:rFonts w:ascii="Times New Roman" w:hAnsi="Times New Roman"/>
          <w:color w:val="000000"/>
          <w:sz w:val="28"/>
          <w:szCs w:val="28"/>
        </w:rPr>
        <w:t>учреждения дополнительного образования (Детская музыкальная школа г</w:t>
      </w:r>
      <w:proofErr w:type="gramStart"/>
      <w:r w:rsidR="0000253D" w:rsidRPr="009E6071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00253D" w:rsidRPr="009E6071">
        <w:rPr>
          <w:rFonts w:ascii="Times New Roman" w:hAnsi="Times New Roman"/>
          <w:color w:val="000000"/>
          <w:sz w:val="28"/>
          <w:szCs w:val="28"/>
        </w:rPr>
        <w:t xml:space="preserve">имашевска, детская художественная школа г.Тимашевска, детская школа искусств </w:t>
      </w:r>
      <w:proofErr w:type="spellStart"/>
      <w:r w:rsidR="0000253D" w:rsidRPr="009E6071">
        <w:rPr>
          <w:rFonts w:ascii="Times New Roman" w:hAnsi="Times New Roman"/>
          <w:color w:val="000000"/>
          <w:sz w:val="28"/>
          <w:szCs w:val="28"/>
        </w:rPr>
        <w:t>ст.Роговская</w:t>
      </w:r>
      <w:proofErr w:type="spellEnd"/>
      <w:r w:rsidR="0000253D" w:rsidRPr="009E6071">
        <w:rPr>
          <w:rFonts w:ascii="Times New Roman" w:hAnsi="Times New Roman"/>
          <w:color w:val="000000"/>
          <w:sz w:val="28"/>
          <w:szCs w:val="28"/>
        </w:rPr>
        <w:t>);</w:t>
      </w:r>
    </w:p>
    <w:p w:rsidR="0000253D" w:rsidRPr="009E6071" w:rsidRDefault="0000253D" w:rsidP="0000253D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>22</w:t>
      </w:r>
      <w:r w:rsidRPr="009E6071">
        <w:rPr>
          <w:rFonts w:ascii="Times New Roman" w:hAnsi="Times New Roman"/>
          <w:color w:val="000000"/>
          <w:sz w:val="28"/>
          <w:szCs w:val="28"/>
        </w:rPr>
        <w:t xml:space="preserve"> библиотеки;</w:t>
      </w:r>
    </w:p>
    <w:p w:rsidR="0000253D" w:rsidRPr="009E6071" w:rsidRDefault="0000253D" w:rsidP="0000253D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>кинотеатр;</w:t>
      </w:r>
    </w:p>
    <w:p w:rsidR="0000253D" w:rsidRPr="009E6071" w:rsidRDefault="0000253D" w:rsidP="0000253D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>парк культуры и отдыха;</w:t>
      </w:r>
    </w:p>
    <w:p w:rsidR="009E6071" w:rsidRPr="009E6071" w:rsidRDefault="0000253D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>районный организационно-методический центр.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 xml:space="preserve"> фитнес клуб «Зебра»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 xml:space="preserve"> танцевальный клуб «</w:t>
      </w:r>
      <w:r w:rsidRPr="009E6071">
        <w:rPr>
          <w:rFonts w:ascii="Times New Roman" w:hAnsi="Times New Roman"/>
          <w:color w:val="000000"/>
          <w:sz w:val="28"/>
          <w:szCs w:val="28"/>
          <w:lang w:val="en-US"/>
        </w:rPr>
        <w:t>Right</w:t>
      </w:r>
      <w:r w:rsidRPr="009E6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071">
        <w:rPr>
          <w:rFonts w:ascii="Times New Roman" w:hAnsi="Times New Roman"/>
          <w:color w:val="000000"/>
          <w:sz w:val="28"/>
          <w:szCs w:val="28"/>
          <w:lang w:val="en-US"/>
        </w:rPr>
        <w:t>Step</w:t>
      </w:r>
      <w:r w:rsidRPr="009E6071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071">
        <w:rPr>
          <w:rFonts w:ascii="Times New Roman" w:hAnsi="Times New Roman"/>
          <w:color w:val="000000"/>
          <w:sz w:val="28"/>
          <w:szCs w:val="28"/>
        </w:rPr>
        <w:t>академия детского творчества «</w:t>
      </w:r>
      <w:proofErr w:type="spellStart"/>
      <w:r w:rsidRPr="009E6071">
        <w:rPr>
          <w:rFonts w:ascii="Times New Roman" w:hAnsi="Times New Roman"/>
          <w:color w:val="000000"/>
          <w:sz w:val="28"/>
          <w:szCs w:val="28"/>
        </w:rPr>
        <w:t>СОВа</w:t>
      </w:r>
      <w:proofErr w:type="spellEnd"/>
      <w:r w:rsidRPr="009E6071">
        <w:rPr>
          <w:rFonts w:ascii="Times New Roman" w:hAnsi="Times New Roman"/>
          <w:color w:val="000000"/>
          <w:sz w:val="28"/>
          <w:szCs w:val="28"/>
        </w:rPr>
        <w:t>»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071">
        <w:rPr>
          <w:rFonts w:ascii="Times New Roman" w:hAnsi="Times New Roman"/>
          <w:color w:val="000000"/>
          <w:sz w:val="28"/>
          <w:szCs w:val="28"/>
        </w:rPr>
        <w:t xml:space="preserve">клуб «Счастливое детство», 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hAnsi="Times New Roman"/>
          <w:color w:val="000000"/>
          <w:sz w:val="28"/>
          <w:szCs w:val="28"/>
        </w:rPr>
        <w:t xml:space="preserve"> студия комплексного развития «</w:t>
      </w:r>
      <w:proofErr w:type="spellStart"/>
      <w:r w:rsidRPr="009E6071">
        <w:rPr>
          <w:rFonts w:ascii="Times New Roman" w:hAnsi="Times New Roman"/>
          <w:color w:val="000000"/>
          <w:sz w:val="28"/>
          <w:szCs w:val="28"/>
        </w:rPr>
        <w:t>Денс-фит</w:t>
      </w:r>
      <w:proofErr w:type="spellEnd"/>
      <w:r w:rsidRPr="009E6071">
        <w:rPr>
          <w:rFonts w:ascii="Times New Roman" w:hAnsi="Times New Roman"/>
          <w:color w:val="000000"/>
          <w:sz w:val="28"/>
          <w:szCs w:val="28"/>
        </w:rPr>
        <w:t>»</w:t>
      </w:r>
    </w:p>
    <w:p w:rsidR="009E6071" w:rsidRPr="009E6071" w:rsidRDefault="009E6071" w:rsidP="009E6071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071">
        <w:rPr>
          <w:rFonts w:ascii="Times New Roman" w:hAnsi="Times New Roman"/>
          <w:color w:val="000000"/>
          <w:sz w:val="28"/>
          <w:szCs w:val="28"/>
        </w:rPr>
        <w:t>театральная студия</w:t>
      </w:r>
    </w:p>
    <w:p w:rsidR="0000253D" w:rsidRPr="009E6071" w:rsidRDefault="0000253D" w:rsidP="009E607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2016 году количество организаций, оказывающих услуги в сфере кул</w:t>
      </w: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туры на территории </w:t>
      </w:r>
      <w:r w:rsidRPr="009E60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607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Тимашевский район</w:t>
      </w:r>
      <w:r w:rsidR="007F20DD" w:rsidRPr="009E60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E6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</w:t>
      </w: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E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вило 49 учреждений, за 2015 год - 52, за 2014 год – 53. Динамика количества учреждений культуры </w:t>
      </w:r>
      <w:r w:rsidRPr="009E6071">
        <w:rPr>
          <w:rFonts w:ascii="Times New Roman" w:eastAsia="Times New Roman" w:hAnsi="Times New Roman"/>
          <w:sz w:val="28"/>
          <w:szCs w:val="28"/>
          <w:lang w:eastAsia="ru-RU"/>
        </w:rPr>
        <w:t>отрицательна. Снижение произошло за счет реструкт</w:t>
      </w:r>
      <w:r w:rsidRPr="009E607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6071">
        <w:rPr>
          <w:rFonts w:ascii="Times New Roman" w:eastAsia="Times New Roman" w:hAnsi="Times New Roman"/>
          <w:sz w:val="28"/>
          <w:szCs w:val="28"/>
          <w:lang w:eastAsia="ru-RU"/>
        </w:rPr>
        <w:t>ризации структурных подразделений:</w:t>
      </w:r>
    </w:p>
    <w:p w:rsidR="0000253D" w:rsidRPr="007A3CBA" w:rsidRDefault="0000253D" w:rsidP="009E6071">
      <w:pPr>
        <w:spacing w:after="0" w:line="240" w:lineRule="auto"/>
        <w:ind w:left="-142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- МБУК «</w:t>
      </w:r>
      <w:proofErr w:type="gramStart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Поселковая</w:t>
      </w:r>
      <w:proofErr w:type="gramEnd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 СЦКС» на основе интеграции структурного подра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деления сетевой единицы клуба «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Красносельский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» с головным (базовым) учр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ждением культуры МБУК «Поселковая СЦКС»;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A3CBA">
        <w:rPr>
          <w:rFonts w:ascii="Times New Roman" w:hAnsi="Times New Roman"/>
          <w:color w:val="000000"/>
          <w:sz w:val="28"/>
          <w:szCs w:val="28"/>
        </w:rPr>
        <w:t xml:space="preserve">МБУК «МРДК им. </w:t>
      </w:r>
      <w:proofErr w:type="spellStart"/>
      <w:r w:rsidRPr="007A3CBA">
        <w:rPr>
          <w:rFonts w:ascii="Times New Roman" w:hAnsi="Times New Roman"/>
          <w:color w:val="000000"/>
          <w:sz w:val="28"/>
          <w:szCs w:val="28"/>
        </w:rPr>
        <w:t>В.М.Толстых</w:t>
      </w:r>
      <w:proofErr w:type="spellEnd"/>
      <w:r w:rsidRPr="007A3CBA">
        <w:rPr>
          <w:rFonts w:ascii="Times New Roman" w:hAnsi="Times New Roman"/>
          <w:color w:val="000000"/>
          <w:sz w:val="28"/>
          <w:szCs w:val="28"/>
        </w:rPr>
        <w:t>» на основе интеграции сетевых ед</w:t>
      </w:r>
      <w:r w:rsidRPr="007A3CBA">
        <w:rPr>
          <w:rFonts w:ascii="Times New Roman" w:hAnsi="Times New Roman"/>
          <w:color w:val="000000"/>
          <w:sz w:val="28"/>
          <w:szCs w:val="28"/>
        </w:rPr>
        <w:t>и</w:t>
      </w:r>
      <w:r w:rsidRPr="007A3CBA">
        <w:rPr>
          <w:rFonts w:ascii="Times New Roman" w:hAnsi="Times New Roman"/>
          <w:color w:val="000000"/>
          <w:sz w:val="28"/>
          <w:szCs w:val="28"/>
        </w:rPr>
        <w:t>ниц: клубов «Садовод» и «Интернат» с головным (базовым) учреждением кул</w:t>
      </w:r>
      <w:r w:rsidRPr="007A3CBA">
        <w:rPr>
          <w:rFonts w:ascii="Times New Roman" w:hAnsi="Times New Roman"/>
          <w:color w:val="000000"/>
          <w:sz w:val="28"/>
          <w:szCs w:val="28"/>
        </w:rPr>
        <w:t>ь</w:t>
      </w:r>
      <w:r w:rsidRPr="007A3CBA">
        <w:rPr>
          <w:rFonts w:ascii="Times New Roman" w:hAnsi="Times New Roman"/>
          <w:color w:val="000000"/>
          <w:sz w:val="28"/>
          <w:szCs w:val="28"/>
        </w:rPr>
        <w:t xml:space="preserve">туры – МБУК «МРДК им. </w:t>
      </w:r>
      <w:proofErr w:type="spellStart"/>
      <w:r w:rsidRPr="007A3CBA">
        <w:rPr>
          <w:rFonts w:ascii="Times New Roman" w:hAnsi="Times New Roman"/>
          <w:color w:val="000000"/>
          <w:sz w:val="28"/>
          <w:szCs w:val="28"/>
        </w:rPr>
        <w:t>В.М.Толстых</w:t>
      </w:r>
      <w:proofErr w:type="spellEnd"/>
      <w:r w:rsidRPr="007A3CBA">
        <w:rPr>
          <w:rFonts w:ascii="Times New Roman" w:hAnsi="Times New Roman"/>
          <w:color w:val="000000"/>
          <w:sz w:val="28"/>
          <w:szCs w:val="28"/>
        </w:rPr>
        <w:t>»;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CBA">
        <w:rPr>
          <w:rFonts w:ascii="Times New Roman" w:hAnsi="Times New Roman"/>
          <w:color w:val="000000"/>
          <w:sz w:val="28"/>
          <w:szCs w:val="28"/>
        </w:rPr>
        <w:t xml:space="preserve">- МБУК «РОМЦ» на основе интеграции сетевой единицы  - </w:t>
      </w:r>
      <w:proofErr w:type="spellStart"/>
      <w:r w:rsidRPr="007A3CBA">
        <w:rPr>
          <w:rFonts w:ascii="Times New Roman" w:hAnsi="Times New Roman"/>
          <w:color w:val="000000"/>
          <w:sz w:val="28"/>
          <w:szCs w:val="28"/>
        </w:rPr>
        <w:t>Агиткуль</w:t>
      </w:r>
      <w:r w:rsidRPr="007A3CBA">
        <w:rPr>
          <w:rFonts w:ascii="Times New Roman" w:hAnsi="Times New Roman"/>
          <w:color w:val="000000"/>
          <w:sz w:val="28"/>
          <w:szCs w:val="28"/>
        </w:rPr>
        <w:t>т</w:t>
      </w:r>
      <w:r w:rsidRPr="007A3CBA">
        <w:rPr>
          <w:rFonts w:ascii="Times New Roman" w:hAnsi="Times New Roman"/>
          <w:color w:val="000000"/>
          <w:sz w:val="28"/>
          <w:szCs w:val="28"/>
        </w:rPr>
        <w:t>бригады</w:t>
      </w:r>
      <w:proofErr w:type="spellEnd"/>
      <w:r w:rsidRPr="007A3CBA">
        <w:rPr>
          <w:rFonts w:ascii="Times New Roman" w:hAnsi="Times New Roman"/>
          <w:color w:val="000000"/>
          <w:sz w:val="28"/>
          <w:szCs w:val="28"/>
        </w:rPr>
        <w:t xml:space="preserve"> № 2 с головным (базовым) учреждением культуры – МБУК «РОМЦ».</w:t>
      </w:r>
    </w:p>
    <w:p w:rsidR="00001447" w:rsidRPr="007A3CBA" w:rsidRDefault="00001447" w:rsidP="00C434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01447" w:rsidRPr="007A3CBA" w:rsidRDefault="00001447" w:rsidP="000014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3CBA">
        <w:rPr>
          <w:rFonts w:ascii="Times New Roman" w:hAnsi="Times New Roman"/>
          <w:b/>
          <w:color w:val="000000"/>
          <w:sz w:val="28"/>
          <w:szCs w:val="28"/>
        </w:rPr>
        <w:t>Количество учреждений культуры в 2014-2016 гг.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253D" w:rsidRPr="007A3CBA" w:rsidTr="001D2BE7">
        <w:tc>
          <w:tcPr>
            <w:tcW w:w="2392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00253D" w:rsidRPr="007A3CBA" w:rsidTr="001D2BE7">
        <w:tc>
          <w:tcPr>
            <w:tcW w:w="2392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Кол-во учрежд</w:t>
            </w: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ний культуры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</w:tbl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На протяжении многих лет уровень фактической обеспеченности ост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вался на уровне.</w:t>
      </w: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Уровень фактической обеспеченности учреждениями культуры от норм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тивной потребности составляет:</w:t>
      </w: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- клубными учреждениями 85,7%;</w:t>
      </w: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- библиотеками 84,6%;</w:t>
      </w:r>
    </w:p>
    <w:p w:rsidR="00001447" w:rsidRPr="007A3CBA" w:rsidRDefault="0000253D" w:rsidP="007F3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- парками культуры и отдыха 50%.</w:t>
      </w:r>
    </w:p>
    <w:p w:rsidR="00C434B4" w:rsidRDefault="00C434B4" w:rsidP="000014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0253D" w:rsidRPr="007A3CBA" w:rsidRDefault="0000253D" w:rsidP="000014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обеспеченности клубными учреждениями</w:t>
      </w:r>
      <w:r w:rsidR="00001447"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разрезе посел</w:t>
      </w:r>
      <w:r w:rsidR="00001447"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001447"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ний, в %</w:t>
      </w:r>
    </w:p>
    <w:p w:rsidR="0000253D" w:rsidRPr="0000253D" w:rsidRDefault="0000253D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0253D">
        <w:rPr>
          <w:rFonts w:ascii="Times New Roman" w:hAnsi="Times New Roman"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 wp14:anchorId="0376EBFE" wp14:editId="044821B4">
            <wp:extent cx="5305425" cy="30765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Из данных диаграммы видно, что наибольший уровень обеспеченности учреждениями клубного типа в 2016 году отмечается в Незаймановском сел</w:t>
      </w:r>
      <w:r w:rsidRPr="007A3CBA">
        <w:rPr>
          <w:rFonts w:ascii="Times New Roman" w:hAnsi="Times New Roman"/>
          <w:sz w:val="28"/>
          <w:szCs w:val="28"/>
        </w:rPr>
        <w:t>ь</w:t>
      </w:r>
      <w:r w:rsidRPr="007A3CBA">
        <w:rPr>
          <w:rFonts w:ascii="Times New Roman" w:hAnsi="Times New Roman"/>
          <w:sz w:val="28"/>
          <w:szCs w:val="28"/>
        </w:rPr>
        <w:t>ском поселении – 114,2%, Днепровском сельском поселении – 107,5%.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lastRenderedPageBreak/>
        <w:t>Дефицит учреждений клубного типа наблюдается в Тимашевском горо</w:t>
      </w:r>
      <w:r w:rsidRPr="007A3CBA">
        <w:rPr>
          <w:rFonts w:ascii="Times New Roman" w:hAnsi="Times New Roman"/>
          <w:sz w:val="28"/>
          <w:szCs w:val="28"/>
        </w:rPr>
        <w:t>д</w:t>
      </w:r>
      <w:r w:rsidRPr="007A3CBA">
        <w:rPr>
          <w:rFonts w:ascii="Times New Roman" w:hAnsi="Times New Roman"/>
          <w:sz w:val="28"/>
          <w:szCs w:val="28"/>
        </w:rPr>
        <w:t xml:space="preserve">ском поселении (74,6%), Поселковом (41,4%), </w:t>
      </w:r>
      <w:proofErr w:type="spellStart"/>
      <w:r w:rsidRPr="007A3CBA">
        <w:rPr>
          <w:rFonts w:ascii="Times New Roman" w:hAnsi="Times New Roman"/>
          <w:sz w:val="28"/>
          <w:szCs w:val="28"/>
        </w:rPr>
        <w:t>Новоленинском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(65,4%) и Де</w:t>
      </w:r>
      <w:r w:rsidRPr="007A3CBA">
        <w:rPr>
          <w:rFonts w:ascii="Times New Roman" w:hAnsi="Times New Roman"/>
          <w:sz w:val="28"/>
          <w:szCs w:val="28"/>
        </w:rPr>
        <w:t>р</w:t>
      </w:r>
      <w:r w:rsidRPr="007A3CBA">
        <w:rPr>
          <w:rFonts w:ascii="Times New Roman" w:hAnsi="Times New Roman"/>
          <w:sz w:val="28"/>
          <w:szCs w:val="28"/>
        </w:rPr>
        <w:t>бентском (70,5%) сельских поселениях.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Средний уровень обеспеченности населения муниципального образов</w:t>
      </w:r>
      <w:r w:rsidRPr="007A3CBA">
        <w:rPr>
          <w:rFonts w:ascii="Times New Roman" w:hAnsi="Times New Roman"/>
          <w:sz w:val="28"/>
          <w:szCs w:val="28"/>
        </w:rPr>
        <w:t>а</w:t>
      </w:r>
      <w:r w:rsidRPr="007A3CBA">
        <w:rPr>
          <w:rFonts w:ascii="Times New Roman" w:hAnsi="Times New Roman"/>
          <w:sz w:val="28"/>
          <w:szCs w:val="28"/>
        </w:rPr>
        <w:t xml:space="preserve">ния Тимашевский район библиотечными учреждениями составил 84,6%, </w:t>
      </w:r>
      <w:proofErr w:type="spellStart"/>
      <w:r w:rsidRPr="007A3CBA">
        <w:rPr>
          <w:rFonts w:ascii="Times New Roman" w:hAnsi="Times New Roman"/>
          <w:sz w:val="28"/>
          <w:szCs w:val="28"/>
        </w:rPr>
        <w:t>сре</w:t>
      </w:r>
      <w:r w:rsidRPr="007A3CBA">
        <w:rPr>
          <w:rFonts w:ascii="Times New Roman" w:hAnsi="Times New Roman"/>
          <w:sz w:val="28"/>
          <w:szCs w:val="28"/>
        </w:rPr>
        <w:t>д</w:t>
      </w:r>
      <w:r w:rsidRPr="007A3CBA">
        <w:rPr>
          <w:rFonts w:ascii="Times New Roman" w:hAnsi="Times New Roman"/>
          <w:sz w:val="28"/>
          <w:szCs w:val="28"/>
        </w:rPr>
        <w:t>некраевой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уровень 87,2%.</w:t>
      </w:r>
    </w:p>
    <w:p w:rsidR="00A55DB1" w:rsidRDefault="00A55DB1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253D" w:rsidRPr="0000253D" w:rsidRDefault="0000253D" w:rsidP="00C434B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0253D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CDF7D44" wp14:editId="34D566CE">
            <wp:extent cx="6048375" cy="262890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A3CBA" w:rsidRDefault="007A3CBA" w:rsidP="00A5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0253D" w:rsidRPr="007A3CBA" w:rsidRDefault="0000253D" w:rsidP="00A5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Уровень фактической обеспеченности библиотечными учреждениями ниже </w:t>
      </w:r>
      <w:proofErr w:type="spellStart"/>
      <w:r w:rsidRPr="007A3CBA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уровня </w:t>
      </w:r>
      <w:proofErr w:type="gramStart"/>
      <w:r w:rsidRPr="007A3CBA">
        <w:rPr>
          <w:rFonts w:ascii="Times New Roman" w:hAnsi="Times New Roman"/>
          <w:sz w:val="28"/>
          <w:szCs w:val="28"/>
        </w:rPr>
        <w:t>в</w:t>
      </w:r>
      <w:proofErr w:type="gramEnd"/>
      <w:r w:rsidRPr="007A3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CBA">
        <w:rPr>
          <w:rFonts w:ascii="Times New Roman" w:hAnsi="Times New Roman"/>
          <w:sz w:val="28"/>
          <w:szCs w:val="28"/>
        </w:rPr>
        <w:t>Тимашевском</w:t>
      </w:r>
      <w:proofErr w:type="gramEnd"/>
      <w:r w:rsidRPr="007A3CBA">
        <w:rPr>
          <w:rFonts w:ascii="Times New Roman" w:hAnsi="Times New Roman"/>
          <w:sz w:val="28"/>
          <w:szCs w:val="28"/>
        </w:rPr>
        <w:t xml:space="preserve"> городском поселении (83,3%), Медведовском (83,3%) и Днепровском сельских поселениях (50%).</w:t>
      </w:r>
    </w:p>
    <w:p w:rsidR="0000253D" w:rsidRPr="007A3CBA" w:rsidRDefault="0000253D" w:rsidP="00C43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В муниципальном образовании Тимашевский район имеется один парк культуры и отдыха, который находится в Тимашевском городском поселении. Нормативная потребность обеспеченности парками составляет один парк </w:t>
      </w:r>
      <w:r w:rsidR="00A55DB1" w:rsidRPr="007A3CBA">
        <w:rPr>
          <w:rFonts w:ascii="Times New Roman" w:hAnsi="Times New Roman"/>
          <w:sz w:val="28"/>
          <w:szCs w:val="28"/>
        </w:rPr>
        <w:t xml:space="preserve">на 50 тыс. жителей, </w:t>
      </w:r>
      <w:r w:rsidRPr="007A3CBA">
        <w:rPr>
          <w:rFonts w:ascii="Times New Roman" w:hAnsi="Times New Roman"/>
          <w:sz w:val="28"/>
          <w:szCs w:val="28"/>
        </w:rPr>
        <w:t>уровень фактической обеспеченности парками культуры и отд</w:t>
      </w:r>
      <w:r w:rsidRPr="007A3CBA">
        <w:rPr>
          <w:rFonts w:ascii="Times New Roman" w:hAnsi="Times New Roman"/>
          <w:sz w:val="28"/>
          <w:szCs w:val="28"/>
        </w:rPr>
        <w:t>ы</w:t>
      </w:r>
      <w:r w:rsidRPr="007A3CBA">
        <w:rPr>
          <w:rFonts w:ascii="Times New Roman" w:hAnsi="Times New Roman"/>
          <w:sz w:val="28"/>
          <w:szCs w:val="28"/>
        </w:rPr>
        <w:t xml:space="preserve">ха 50%, что ниже </w:t>
      </w:r>
      <w:proofErr w:type="spellStart"/>
      <w:r w:rsidRPr="007A3CBA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уровня (64,2%). 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В 24 клубных у</w:t>
      </w:r>
      <w:r w:rsidR="00A55DB1" w:rsidRPr="007A3CBA">
        <w:rPr>
          <w:rFonts w:ascii="Times New Roman" w:hAnsi="Times New Roman"/>
          <w:sz w:val="28"/>
          <w:szCs w:val="28"/>
        </w:rPr>
        <w:t>чреждениях района в течение 2016</w:t>
      </w:r>
      <w:r w:rsidRPr="007A3CBA">
        <w:rPr>
          <w:rFonts w:ascii="Times New Roman" w:hAnsi="Times New Roman"/>
          <w:sz w:val="28"/>
          <w:szCs w:val="28"/>
        </w:rPr>
        <w:t xml:space="preserve"> года работали 239 культурно-досуговых формирования, с числом участников 6712 человек, из них 128 коллективов художественной самодеятельности, в них заняты 2813 чел</w:t>
      </w:r>
      <w:r w:rsidRPr="007A3CBA">
        <w:rPr>
          <w:rFonts w:ascii="Times New Roman" w:hAnsi="Times New Roman"/>
          <w:sz w:val="28"/>
          <w:szCs w:val="28"/>
        </w:rPr>
        <w:t>о</w:t>
      </w:r>
      <w:r w:rsidRPr="007A3CBA">
        <w:rPr>
          <w:rFonts w:ascii="Times New Roman" w:hAnsi="Times New Roman"/>
          <w:sz w:val="28"/>
          <w:szCs w:val="28"/>
        </w:rPr>
        <w:t>век, 111 клубов по интересам с количеством участников 3899 человек.</w:t>
      </w:r>
      <w:r w:rsidRPr="007A3CBA">
        <w:rPr>
          <w:rFonts w:ascii="Times New Roman" w:hAnsi="Times New Roman"/>
          <w:noProof/>
          <w:color w:val="000000"/>
          <w:spacing w:val="15"/>
          <w:sz w:val="26"/>
          <w:szCs w:val="26"/>
          <w:lang w:eastAsia="ru-RU"/>
        </w:rPr>
        <w:t xml:space="preserve"> 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53D" w:rsidRPr="007A3CBA" w:rsidRDefault="0000253D" w:rsidP="00002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CBA">
        <w:rPr>
          <w:rFonts w:ascii="Times New Roman" w:hAnsi="Times New Roman"/>
          <w:b/>
          <w:sz w:val="28"/>
          <w:szCs w:val="28"/>
        </w:rPr>
        <w:t>Развитие клубных формирований</w:t>
      </w:r>
    </w:p>
    <w:p w:rsidR="0000253D" w:rsidRPr="007A3CBA" w:rsidRDefault="0000253D" w:rsidP="00002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361"/>
        <w:gridCol w:w="1418"/>
        <w:gridCol w:w="1275"/>
        <w:gridCol w:w="1701"/>
      </w:tblGrid>
      <w:tr w:rsidR="0000253D" w:rsidRPr="007A3CBA" w:rsidTr="00C434B4">
        <w:trPr>
          <w:trHeight w:val="565"/>
        </w:trPr>
        <w:tc>
          <w:tcPr>
            <w:tcW w:w="4361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2014</w:t>
            </w:r>
          </w:p>
        </w:tc>
        <w:tc>
          <w:tcPr>
            <w:tcW w:w="1275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00253D" w:rsidRPr="007A3CBA" w:rsidRDefault="0000253D" w:rsidP="00C434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2016</w:t>
            </w:r>
          </w:p>
        </w:tc>
      </w:tr>
      <w:tr w:rsidR="0000253D" w:rsidRPr="007A3CBA" w:rsidTr="00C434B4">
        <w:tc>
          <w:tcPr>
            <w:tcW w:w="4361" w:type="dxa"/>
          </w:tcPr>
          <w:p w:rsidR="0000253D" w:rsidRPr="007A3CBA" w:rsidRDefault="0000253D" w:rsidP="00002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1418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275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701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00253D" w:rsidRPr="007A3CBA" w:rsidTr="00C434B4">
        <w:tc>
          <w:tcPr>
            <w:tcW w:w="4361" w:type="dxa"/>
          </w:tcPr>
          <w:p w:rsidR="0000253D" w:rsidRPr="007A3CBA" w:rsidRDefault="0000253D" w:rsidP="00002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Число участников в них</w:t>
            </w:r>
          </w:p>
        </w:tc>
        <w:tc>
          <w:tcPr>
            <w:tcW w:w="1418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6504</w:t>
            </w:r>
          </w:p>
        </w:tc>
        <w:tc>
          <w:tcPr>
            <w:tcW w:w="1275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6712</w:t>
            </w:r>
          </w:p>
        </w:tc>
        <w:tc>
          <w:tcPr>
            <w:tcW w:w="1701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6764</w:t>
            </w:r>
          </w:p>
        </w:tc>
      </w:tr>
    </w:tbl>
    <w:p w:rsidR="007A3CBA" w:rsidRPr="007A3CBA" w:rsidRDefault="007A3CBA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</w:rPr>
      </w:pPr>
    </w:p>
    <w:p w:rsidR="007A3CBA" w:rsidRDefault="007A3CBA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7A3CBA" w:rsidRDefault="007A3CBA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  <w:r w:rsidRPr="0000253D">
        <w:rPr>
          <w:rFonts w:ascii="Times New Roman" w:hAnsi="Times New Roman"/>
          <w:noProof/>
          <w:color w:val="000000"/>
          <w:spacing w:val="15"/>
          <w:sz w:val="26"/>
          <w:szCs w:val="26"/>
          <w:highlight w:val="green"/>
          <w:lang w:eastAsia="ru-RU"/>
        </w:rPr>
        <w:drawing>
          <wp:anchor distT="0" distB="0" distL="114300" distR="114300" simplePos="0" relativeHeight="251668480" behindDoc="0" locked="0" layoutInCell="1" allowOverlap="1" wp14:anchorId="0A2D5FD4" wp14:editId="09C209CE">
            <wp:simplePos x="0" y="0"/>
            <wp:positionH relativeFrom="column">
              <wp:posOffset>605791</wp:posOffset>
            </wp:positionH>
            <wp:positionV relativeFrom="paragraph">
              <wp:posOffset>125095</wp:posOffset>
            </wp:positionV>
            <wp:extent cx="4457700" cy="1914525"/>
            <wp:effectExtent l="0" t="0" r="19050" b="9525"/>
            <wp:wrapNone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pacing w:val="15"/>
          <w:sz w:val="26"/>
          <w:szCs w:val="26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00253D" w:rsidRPr="0000253D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0253D" w:rsidRPr="007A3CBA" w:rsidRDefault="0000253D" w:rsidP="0000253D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A3CBA">
        <w:rPr>
          <w:rFonts w:ascii="Times New Roman" w:hAnsi="Times New Roman"/>
          <w:color w:val="000000"/>
          <w:sz w:val="28"/>
          <w:szCs w:val="28"/>
        </w:rPr>
        <w:t>Из данных таблицы видно, что за анализируемый период происходит ув</w:t>
      </w:r>
      <w:r w:rsidRPr="007A3CBA">
        <w:rPr>
          <w:rFonts w:ascii="Times New Roman" w:hAnsi="Times New Roman"/>
          <w:color w:val="000000"/>
          <w:sz w:val="28"/>
          <w:szCs w:val="28"/>
        </w:rPr>
        <w:t>е</w:t>
      </w:r>
      <w:r w:rsidRPr="007A3CBA">
        <w:rPr>
          <w:rFonts w:ascii="Times New Roman" w:hAnsi="Times New Roman"/>
          <w:color w:val="000000"/>
          <w:sz w:val="28"/>
          <w:szCs w:val="28"/>
        </w:rPr>
        <w:t>личение числа клубных формирований. В 2015 году увеличение клубных фо</w:t>
      </w:r>
      <w:r w:rsidRPr="007A3CBA">
        <w:rPr>
          <w:rFonts w:ascii="Times New Roman" w:hAnsi="Times New Roman"/>
          <w:color w:val="000000"/>
          <w:sz w:val="28"/>
          <w:szCs w:val="28"/>
        </w:rPr>
        <w:t>р</w:t>
      </w:r>
      <w:r w:rsidRPr="007A3CBA">
        <w:rPr>
          <w:rFonts w:ascii="Times New Roman" w:hAnsi="Times New Roman"/>
          <w:color w:val="000000"/>
          <w:sz w:val="28"/>
          <w:szCs w:val="28"/>
        </w:rPr>
        <w:t>мирований на 6 единиц (+208 человек), а в 2016 году увеличение числа учас</w:t>
      </w:r>
      <w:r w:rsidRPr="007A3CBA">
        <w:rPr>
          <w:rFonts w:ascii="Times New Roman" w:hAnsi="Times New Roman"/>
          <w:color w:val="000000"/>
          <w:sz w:val="28"/>
          <w:szCs w:val="28"/>
        </w:rPr>
        <w:t>т</w:t>
      </w:r>
      <w:r w:rsidRPr="007A3CBA">
        <w:rPr>
          <w:rFonts w:ascii="Times New Roman" w:hAnsi="Times New Roman"/>
          <w:color w:val="000000"/>
          <w:sz w:val="28"/>
          <w:szCs w:val="28"/>
        </w:rPr>
        <w:t>ников клубных формирований  на 52 человека.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3CBA">
        <w:rPr>
          <w:rFonts w:ascii="Times New Roman" w:hAnsi="Times New Roman"/>
          <w:sz w:val="28"/>
          <w:szCs w:val="28"/>
          <w:shd w:val="clear" w:color="auto" w:fill="FFFFFF"/>
        </w:rPr>
        <w:t xml:space="preserve">За 2016 год проведено 35 районных фестивалей, конкурсов, выставок по всем жанрам творчества и для всех категорий населения, в которых приняли участие более 7 тысяч человек. 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3CBA">
        <w:rPr>
          <w:rFonts w:ascii="Times New Roman" w:hAnsi="Times New Roman"/>
          <w:sz w:val="28"/>
          <w:szCs w:val="28"/>
          <w:shd w:val="clear" w:color="auto" w:fill="FFFFFF"/>
        </w:rPr>
        <w:t xml:space="preserve">В 62 краевых, Всероссийских и Международных фестивалях, конкурсах и выставках участвовали 1300 человек, </w:t>
      </w:r>
      <w:r w:rsidRPr="007A3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более 150</w:t>
      </w:r>
      <w:r w:rsidR="00A55DB1" w:rsidRPr="007A3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7A3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ипломов пополнили копилку наград Тимашевского района.</w:t>
      </w:r>
    </w:p>
    <w:p w:rsidR="0000253D" w:rsidRPr="007A3CBA" w:rsidRDefault="0000253D" w:rsidP="0000253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A3CB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Культурно-досуговая деятельность направлена на освоение человеком мира культуры. Побудительным моментом для нее являются культурные потребности личности: в познании, творчестве, общении, общественно-политической и религиозной деятельности, различного рода игровых занятиях. </w:t>
      </w:r>
      <w:r w:rsidRPr="007A3CB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Рассматривая культурно-досуговую деятельность как целостную систему, основное внимание уделяется  деятельности </w:t>
      </w:r>
      <w:r w:rsidRPr="007A3CB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учреждений культуры. </w:t>
      </w:r>
    </w:p>
    <w:p w:rsidR="0000253D" w:rsidRPr="007A3CBA" w:rsidRDefault="0000253D" w:rsidP="0000253D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3CBA">
        <w:rPr>
          <w:rFonts w:ascii="Times New Roman" w:hAnsi="Times New Roman"/>
          <w:b/>
          <w:color w:val="000000"/>
          <w:sz w:val="28"/>
          <w:szCs w:val="28"/>
        </w:rPr>
        <w:t>Культурно-досуговая работа</w:t>
      </w:r>
    </w:p>
    <w:tbl>
      <w:tblPr>
        <w:tblStyle w:val="20"/>
        <w:tblW w:w="9464" w:type="dxa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559"/>
      </w:tblGrid>
      <w:tr w:rsidR="0000253D" w:rsidRPr="007A3CBA" w:rsidTr="001D2BE7">
        <w:tc>
          <w:tcPr>
            <w:tcW w:w="4644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60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00253D" w:rsidRPr="007A3CBA" w:rsidTr="001D2BE7">
        <w:tc>
          <w:tcPr>
            <w:tcW w:w="4644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Число мероприятий всего</w:t>
            </w:r>
          </w:p>
        </w:tc>
        <w:tc>
          <w:tcPr>
            <w:tcW w:w="1701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9222</w:t>
            </w:r>
          </w:p>
        </w:tc>
        <w:tc>
          <w:tcPr>
            <w:tcW w:w="1560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9035</w:t>
            </w:r>
          </w:p>
        </w:tc>
        <w:tc>
          <w:tcPr>
            <w:tcW w:w="1559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9019</w:t>
            </w:r>
          </w:p>
        </w:tc>
      </w:tr>
      <w:tr w:rsidR="0000253D" w:rsidRPr="007A3CBA" w:rsidTr="001D2BE7">
        <w:tc>
          <w:tcPr>
            <w:tcW w:w="4644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Число посетителей мероприятий</w:t>
            </w:r>
          </w:p>
        </w:tc>
        <w:tc>
          <w:tcPr>
            <w:tcW w:w="1701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853111</w:t>
            </w:r>
          </w:p>
        </w:tc>
        <w:tc>
          <w:tcPr>
            <w:tcW w:w="1560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859690</w:t>
            </w:r>
          </w:p>
        </w:tc>
        <w:tc>
          <w:tcPr>
            <w:tcW w:w="1559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851466</w:t>
            </w:r>
          </w:p>
        </w:tc>
      </w:tr>
      <w:tr w:rsidR="0000253D" w:rsidRPr="0000253D" w:rsidTr="001D2BE7">
        <w:tc>
          <w:tcPr>
            <w:tcW w:w="4644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Число платных мероприятий</w:t>
            </w:r>
          </w:p>
        </w:tc>
        <w:tc>
          <w:tcPr>
            <w:tcW w:w="1701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60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vAlign w:val="center"/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</w:tbl>
    <w:p w:rsidR="0000253D" w:rsidRPr="007A3CBA" w:rsidRDefault="0000253D" w:rsidP="0000253D">
      <w:pPr>
        <w:shd w:val="clear" w:color="auto" w:fill="FFFFFF"/>
        <w:spacing w:before="240" w:after="0" w:line="240" w:lineRule="auto"/>
        <w:ind w:firstLine="709"/>
        <w:jc w:val="both"/>
      </w:pPr>
      <w:r w:rsidRPr="007A3CBA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видно из таблицы произошло уменьшение числа мероприятий на  89, это обусловлено сокращением клубов СК </w:t>
      </w:r>
      <w:proofErr w:type="spellStart"/>
      <w:r w:rsidRPr="007A3CBA">
        <w:rPr>
          <w:rFonts w:ascii="Times New Roman" w:hAnsi="Times New Roman"/>
          <w:color w:val="000000"/>
          <w:spacing w:val="-1"/>
          <w:sz w:val="28"/>
          <w:szCs w:val="28"/>
        </w:rPr>
        <w:t>Красносельский</w:t>
      </w:r>
      <w:proofErr w:type="spellEnd"/>
      <w:r w:rsidRPr="007A3CBA">
        <w:rPr>
          <w:rFonts w:ascii="Times New Roman" w:hAnsi="Times New Roman"/>
          <w:color w:val="000000"/>
          <w:spacing w:val="-1"/>
          <w:sz w:val="28"/>
          <w:szCs w:val="28"/>
        </w:rPr>
        <w:t>, СК Садовод и СК Дом-интернат.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В 2016 году продолжилась работа с населением старшего поколения. В</w:t>
      </w:r>
      <w:r w:rsidRPr="007A3CBA">
        <w:rPr>
          <w:rFonts w:ascii="Times New Roman" w:hAnsi="Times New Roman"/>
          <w:color w:val="000000"/>
          <w:spacing w:val="1"/>
          <w:sz w:val="28"/>
          <w:szCs w:val="28"/>
        </w:rPr>
        <w:t xml:space="preserve"> учреждениях культуры Тимашевского района работают </w:t>
      </w:r>
      <w:r w:rsidRPr="007A3CBA">
        <w:rPr>
          <w:rFonts w:ascii="Times New Roman" w:hAnsi="Times New Roman"/>
          <w:color w:val="000000"/>
          <w:sz w:val="28"/>
          <w:szCs w:val="28"/>
        </w:rPr>
        <w:t>12 клубов по интер</w:t>
      </w:r>
      <w:r w:rsidRPr="007A3CBA">
        <w:rPr>
          <w:rFonts w:ascii="Times New Roman" w:hAnsi="Times New Roman"/>
          <w:color w:val="000000"/>
          <w:sz w:val="28"/>
          <w:szCs w:val="28"/>
        </w:rPr>
        <w:t>е</w:t>
      </w:r>
      <w:r w:rsidRPr="007A3CBA">
        <w:rPr>
          <w:rFonts w:ascii="Times New Roman" w:hAnsi="Times New Roman"/>
          <w:color w:val="000000"/>
          <w:sz w:val="28"/>
          <w:szCs w:val="28"/>
        </w:rPr>
        <w:t>сам для людей пожилого возраста, в которых занимаются 456 человек,</w:t>
      </w:r>
      <w:r w:rsidRPr="007A3CBA">
        <w:rPr>
          <w:rFonts w:ascii="Times New Roman" w:hAnsi="Times New Roman"/>
          <w:color w:val="000000"/>
          <w:spacing w:val="2"/>
          <w:sz w:val="28"/>
          <w:szCs w:val="28"/>
        </w:rPr>
        <w:t xml:space="preserve"> в 15 коллективах художественной самодеятельности 267 человек старшего покол</w:t>
      </w:r>
      <w:r w:rsidRPr="007A3CBA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7A3CBA">
        <w:rPr>
          <w:rFonts w:ascii="Times New Roman" w:hAnsi="Times New Roman"/>
          <w:color w:val="000000"/>
          <w:spacing w:val="2"/>
          <w:sz w:val="28"/>
          <w:szCs w:val="28"/>
        </w:rPr>
        <w:t>ния</w:t>
      </w:r>
      <w:r w:rsidRPr="007A3CB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. </w:t>
      </w:r>
      <w:r w:rsidRPr="007A3CBA">
        <w:rPr>
          <w:rFonts w:ascii="Times New Roman" w:hAnsi="Times New Roman"/>
          <w:sz w:val="28"/>
          <w:szCs w:val="28"/>
        </w:rPr>
        <w:t>Всего за отчетный период проведено 1295 мероприятий, зрителями кот</w:t>
      </w:r>
      <w:r w:rsidRPr="007A3CBA">
        <w:rPr>
          <w:rFonts w:ascii="Times New Roman" w:hAnsi="Times New Roman"/>
          <w:sz w:val="28"/>
          <w:szCs w:val="28"/>
        </w:rPr>
        <w:t>о</w:t>
      </w:r>
      <w:r w:rsidRPr="007A3CBA">
        <w:rPr>
          <w:rFonts w:ascii="Times New Roman" w:hAnsi="Times New Roman"/>
          <w:sz w:val="28"/>
          <w:szCs w:val="28"/>
        </w:rPr>
        <w:t xml:space="preserve">рых стали около 107916 человек. </w:t>
      </w:r>
    </w:p>
    <w:p w:rsidR="0000253D" w:rsidRPr="007A3CBA" w:rsidRDefault="0000253D" w:rsidP="000025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 xml:space="preserve">За 2016 год проведено 4462 мероприятий для детей, что больше чем в 2015 году на 45 мероприятий, с количеством присутствующих 276216 человек. </w:t>
      </w:r>
    </w:p>
    <w:p w:rsidR="0000253D" w:rsidRPr="007A3CBA" w:rsidRDefault="0000253D" w:rsidP="00002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3CBA">
        <w:rPr>
          <w:rFonts w:ascii="Times New Roman" w:hAnsi="Times New Roman"/>
          <w:sz w:val="28"/>
          <w:szCs w:val="28"/>
          <w:shd w:val="clear" w:color="auto" w:fill="FFFFFF"/>
        </w:rPr>
        <w:t>Для молодежи за год проведено 2409 мероприятия (увеличение на 35 м</w:t>
      </w:r>
      <w:r w:rsidRPr="007A3CB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A3CBA">
        <w:rPr>
          <w:rFonts w:ascii="Times New Roman" w:hAnsi="Times New Roman"/>
          <w:sz w:val="28"/>
          <w:szCs w:val="28"/>
          <w:shd w:val="clear" w:color="auto" w:fill="FFFFFF"/>
        </w:rPr>
        <w:t xml:space="preserve">роприятий), с количеством присутствующих 198606 человек (+189). </w:t>
      </w:r>
    </w:p>
    <w:p w:rsidR="0000253D" w:rsidRPr="007A3CBA" w:rsidRDefault="0000253D" w:rsidP="00002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3CBA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C9A9D6A" wp14:editId="22959DA3">
            <wp:extent cx="4962525" cy="2028825"/>
            <wp:effectExtent l="0" t="0" r="9525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0253D" w:rsidRPr="007A3CBA" w:rsidRDefault="0000253D" w:rsidP="00002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253D" w:rsidRPr="007A3CBA" w:rsidRDefault="0000253D" w:rsidP="00002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3CBA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 МАУ «Экран»</w:t>
      </w:r>
    </w:p>
    <w:p w:rsidR="0000253D" w:rsidRPr="007A3CBA" w:rsidRDefault="0000253D" w:rsidP="00002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53D" w:rsidRPr="007A3CBA" w:rsidRDefault="00C434B4" w:rsidP="0000253D">
      <w:pPr>
        <w:shd w:val="clear" w:color="auto" w:fill="FFFFFF"/>
        <w:spacing w:after="0" w:line="240" w:lineRule="auto"/>
        <w:ind w:left="10" w:right="19" w:firstLine="782"/>
        <w:jc w:val="both"/>
        <w:rPr>
          <w:rFonts w:ascii="Times New Roman" w:hAnsi="Times New Roman"/>
          <w:color w:val="000000"/>
          <w:sz w:val="28"/>
          <w:szCs w:val="28"/>
        </w:rPr>
      </w:pPr>
      <w:r w:rsidRPr="007A3CBA">
        <w:rPr>
          <w:rFonts w:ascii="Times New Roman" w:hAnsi="Times New Roman"/>
          <w:color w:val="000000"/>
          <w:sz w:val="28"/>
          <w:szCs w:val="28"/>
        </w:rPr>
        <w:t xml:space="preserve">За 2016 год проведены 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2263 се</w:t>
      </w:r>
      <w:r w:rsidR="0000253D" w:rsidRPr="007A3CBA">
        <w:rPr>
          <w:rFonts w:ascii="Times New Roman" w:hAnsi="Times New Roman"/>
          <w:bCs/>
          <w:color w:val="000000"/>
          <w:sz w:val="28"/>
          <w:szCs w:val="28"/>
        </w:rPr>
        <w:t xml:space="preserve">ансов, 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 xml:space="preserve">обслужено   60,3 </w:t>
      </w:r>
      <w:r w:rsidR="0000253D" w:rsidRPr="007A3CBA">
        <w:rPr>
          <w:rFonts w:ascii="Times New Roman" w:hAnsi="Times New Roman"/>
          <w:bCs/>
          <w:color w:val="000000"/>
          <w:sz w:val="28"/>
          <w:szCs w:val="28"/>
        </w:rPr>
        <w:t xml:space="preserve">тыс. человек, в т.ч. 7,7 тысяч человек обслужено бесплатно. 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Из них: воспитанники социального центра «Тополек» для детей, оставшихся без попечения родителей, дети из м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а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лообеспеченных семей города и района, подростки, состоящие на учете в к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о</w:t>
      </w:r>
      <w:r w:rsidR="0000253D" w:rsidRPr="007A3CBA">
        <w:rPr>
          <w:rFonts w:ascii="Times New Roman" w:hAnsi="Times New Roman"/>
          <w:color w:val="000000"/>
          <w:sz w:val="28"/>
          <w:szCs w:val="28"/>
        </w:rPr>
        <w:t>миссии по делам несовершеннолетних, военнослужащие в/ч 51128, пожилые жители города Тимашевска.</w:t>
      </w:r>
    </w:p>
    <w:p w:rsidR="0000253D" w:rsidRPr="007A3CBA" w:rsidRDefault="0000253D" w:rsidP="0000253D">
      <w:pPr>
        <w:shd w:val="clear" w:color="auto" w:fill="FFFFFF"/>
        <w:spacing w:after="0" w:line="240" w:lineRule="auto"/>
        <w:ind w:right="7"/>
        <w:rPr>
          <w:rFonts w:ascii="Times New Roman" w:hAnsi="Times New Roman"/>
          <w:bCs/>
          <w:color w:val="000000"/>
          <w:sz w:val="28"/>
          <w:szCs w:val="28"/>
        </w:rPr>
      </w:pPr>
      <w:r w:rsidRPr="007A3CBA">
        <w:rPr>
          <w:rFonts w:ascii="Times New Roman" w:hAnsi="Times New Roman"/>
          <w:bCs/>
          <w:color w:val="000000"/>
          <w:sz w:val="28"/>
          <w:szCs w:val="28"/>
        </w:rPr>
        <w:t xml:space="preserve">Валовой сбор составил  - </w:t>
      </w:r>
      <w:r w:rsidRPr="007A3CBA">
        <w:rPr>
          <w:rFonts w:ascii="Times New Roman" w:hAnsi="Times New Roman"/>
          <w:sz w:val="28"/>
          <w:szCs w:val="28"/>
        </w:rPr>
        <w:t xml:space="preserve"> 12 316,8 </w:t>
      </w:r>
      <w:r w:rsidRPr="007A3CBA">
        <w:rPr>
          <w:rFonts w:ascii="Times New Roman" w:hAnsi="Times New Roman"/>
          <w:bCs/>
          <w:color w:val="000000"/>
          <w:sz w:val="28"/>
          <w:szCs w:val="28"/>
        </w:rPr>
        <w:t xml:space="preserve">тысяч рублей. </w:t>
      </w:r>
    </w:p>
    <w:p w:rsidR="0000253D" w:rsidRPr="007A3CBA" w:rsidRDefault="0000253D" w:rsidP="0000253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3CBA">
        <w:rPr>
          <w:rFonts w:ascii="Times New Roman" w:hAnsi="Times New Roman"/>
          <w:bCs/>
          <w:color w:val="000000"/>
          <w:sz w:val="28"/>
          <w:szCs w:val="28"/>
        </w:rPr>
        <w:t xml:space="preserve">Доход от работы </w:t>
      </w:r>
      <w:proofErr w:type="spellStart"/>
      <w:r w:rsidRPr="007A3CBA">
        <w:rPr>
          <w:rFonts w:ascii="Times New Roman" w:hAnsi="Times New Roman"/>
          <w:bCs/>
          <w:color w:val="000000"/>
          <w:sz w:val="28"/>
          <w:szCs w:val="28"/>
        </w:rPr>
        <w:t>кинобара</w:t>
      </w:r>
      <w:proofErr w:type="spellEnd"/>
      <w:r w:rsidRPr="007A3CB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7A3CBA">
        <w:rPr>
          <w:rFonts w:ascii="Times New Roman" w:hAnsi="Times New Roman"/>
          <w:bCs/>
          <w:sz w:val="28"/>
          <w:szCs w:val="28"/>
        </w:rPr>
        <w:t xml:space="preserve">- </w:t>
      </w:r>
      <w:r w:rsidR="00C434B4" w:rsidRPr="007A3CBA">
        <w:rPr>
          <w:rFonts w:ascii="Times New Roman" w:hAnsi="Times New Roman"/>
          <w:sz w:val="28"/>
          <w:szCs w:val="28"/>
        </w:rPr>
        <w:t xml:space="preserve"> </w:t>
      </w:r>
      <w:r w:rsidRPr="007A3CBA">
        <w:rPr>
          <w:rFonts w:ascii="Times New Roman" w:hAnsi="Times New Roman"/>
          <w:sz w:val="28"/>
          <w:szCs w:val="28"/>
        </w:rPr>
        <w:t xml:space="preserve">2 990,7 </w:t>
      </w:r>
      <w:r w:rsidRPr="007A3CBA">
        <w:rPr>
          <w:rFonts w:ascii="Times New Roman" w:hAnsi="Times New Roman"/>
          <w:bCs/>
          <w:color w:val="000000"/>
          <w:sz w:val="28"/>
          <w:szCs w:val="28"/>
        </w:rPr>
        <w:t>тысяч рублей.</w:t>
      </w:r>
    </w:p>
    <w:p w:rsidR="0000253D" w:rsidRPr="007A3CBA" w:rsidRDefault="0000253D" w:rsidP="0000253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Cs/>
          <w:sz w:val="28"/>
          <w:szCs w:val="28"/>
        </w:rPr>
      </w:pPr>
      <w:r w:rsidRPr="007A3CBA">
        <w:rPr>
          <w:rFonts w:ascii="Times New Roman" w:hAnsi="Times New Roman"/>
          <w:bCs/>
          <w:sz w:val="28"/>
          <w:szCs w:val="28"/>
        </w:rPr>
        <w:t>Общий доход –   15 307,5 тысяч рублей.</w:t>
      </w:r>
    </w:p>
    <w:p w:rsidR="00A24C91" w:rsidRPr="007A3CBA" w:rsidRDefault="00A24C91" w:rsidP="0000253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Cs/>
          <w:sz w:val="28"/>
          <w:szCs w:val="28"/>
        </w:rPr>
      </w:pPr>
    </w:p>
    <w:p w:rsidR="00A24C91" w:rsidRPr="007A3CBA" w:rsidRDefault="00A24C91" w:rsidP="00A24C91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CBA">
        <w:rPr>
          <w:rFonts w:ascii="Times New Roman" w:hAnsi="Times New Roman"/>
          <w:b/>
          <w:bCs/>
          <w:sz w:val="28"/>
          <w:szCs w:val="28"/>
        </w:rPr>
        <w:t>Основные показатели деятельности МАУ «Экран»</w:t>
      </w:r>
    </w:p>
    <w:p w:rsidR="00A24C91" w:rsidRPr="007A3CBA" w:rsidRDefault="00A24C91" w:rsidP="00A24C91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119"/>
      </w:tblGrid>
      <w:tr w:rsidR="0000253D" w:rsidRPr="007A3CBA" w:rsidTr="001D2BE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CBA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</w:tr>
      <w:tr w:rsidR="0000253D" w:rsidRPr="007A3CBA" w:rsidTr="001D2BE7">
        <w:trPr>
          <w:trHeight w:hRule="exact"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Сеансы</w:t>
            </w:r>
          </w:p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2263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</w:tr>
      <w:tr w:rsidR="0000253D" w:rsidRPr="007A3CBA" w:rsidTr="001D2BE7">
        <w:trPr>
          <w:trHeight w:hRule="exact" w:val="34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т.ч. бесплатно</w:t>
            </w:r>
          </w:p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00253D" w:rsidRPr="007A3CBA" w:rsidTr="001D2BE7">
        <w:trPr>
          <w:trHeight w:hRule="exact" w:val="3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зрители (чел.)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60340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59500</w:t>
            </w:r>
          </w:p>
        </w:tc>
      </w:tr>
      <w:tr w:rsidR="0000253D" w:rsidRPr="007A3CBA" w:rsidTr="001D2BE7">
        <w:trPr>
          <w:trHeight w:hRule="exact" w:val="3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т.ч. бесплатно</w:t>
            </w:r>
          </w:p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7700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7500</w:t>
            </w:r>
          </w:p>
        </w:tc>
      </w:tr>
      <w:tr w:rsidR="0000253D" w:rsidRPr="007A3CBA" w:rsidTr="001D2BE7">
        <w:trPr>
          <w:trHeight w:hRule="exact"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Валовый сбор </w:t>
            </w:r>
            <w:r w:rsidRPr="007A3C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(тыс.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12 316,8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10 502,4</w:t>
            </w:r>
          </w:p>
        </w:tc>
      </w:tr>
      <w:tr w:rsidR="0000253D" w:rsidRPr="007A3CBA" w:rsidTr="001D2BE7">
        <w:trPr>
          <w:trHeight w:hRule="exact" w:val="3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Доход от </w:t>
            </w:r>
            <w:proofErr w:type="spellStart"/>
            <w:r w:rsidRPr="007A3CB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кинобара</w:t>
            </w:r>
            <w:proofErr w:type="spellEnd"/>
            <w:r w:rsidRPr="007A3CB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A3C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(тыс. руб.)</w:t>
            </w:r>
          </w:p>
          <w:p w:rsidR="0000253D" w:rsidRPr="007A3CBA" w:rsidRDefault="0000253D" w:rsidP="00002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2990,7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53D" w:rsidRPr="007A3CBA" w:rsidRDefault="0000253D" w:rsidP="00002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CBA">
              <w:rPr>
                <w:rFonts w:ascii="Times New Roman" w:hAnsi="Times New Roman"/>
                <w:sz w:val="28"/>
                <w:szCs w:val="28"/>
              </w:rPr>
              <w:t>3 667,9</w:t>
            </w:r>
          </w:p>
        </w:tc>
      </w:tr>
    </w:tbl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CD3D8B" wp14:editId="3CBEFAB4">
            <wp:extent cx="5305425" cy="2105025"/>
            <wp:effectExtent l="0" t="0" r="9525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По данным диаграммы видно, что происходит ежегодный рост колич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ства сеансов и количество зрителей на них.</w:t>
      </w:r>
    </w:p>
    <w:p w:rsidR="0000253D" w:rsidRPr="007A3CBA" w:rsidRDefault="0000253D" w:rsidP="000025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lastRenderedPageBreak/>
        <w:t>Библиотечное обслуживание населения  муниципального образования Т</w:t>
      </w:r>
      <w:r w:rsidRPr="007A3CBA">
        <w:rPr>
          <w:rFonts w:ascii="Times New Roman" w:hAnsi="Times New Roman"/>
          <w:sz w:val="28"/>
          <w:szCs w:val="28"/>
        </w:rPr>
        <w:t>и</w:t>
      </w:r>
      <w:r w:rsidRPr="007A3CBA">
        <w:rPr>
          <w:rFonts w:ascii="Times New Roman" w:hAnsi="Times New Roman"/>
          <w:sz w:val="28"/>
          <w:szCs w:val="28"/>
        </w:rPr>
        <w:t>машевский район  осуществляют 22 муниципальные библиотеки. Форма орг</w:t>
      </w:r>
      <w:r w:rsidRPr="007A3CBA">
        <w:rPr>
          <w:rFonts w:ascii="Times New Roman" w:hAnsi="Times New Roman"/>
          <w:sz w:val="28"/>
          <w:szCs w:val="28"/>
        </w:rPr>
        <w:t>а</w:t>
      </w:r>
      <w:r w:rsidRPr="007A3CBA">
        <w:rPr>
          <w:rFonts w:ascii="Times New Roman" w:hAnsi="Times New Roman"/>
          <w:sz w:val="28"/>
          <w:szCs w:val="28"/>
        </w:rPr>
        <w:t xml:space="preserve">низации: бюджетная - 19 библиотек; казённая – 3  библиотеки,  объединённые в МКУК «Городская централизованная библиотечная система» Тимашевского городского поселения. Четыре библиотеки вошли в состав   ЦКСД. </w:t>
      </w:r>
    </w:p>
    <w:p w:rsidR="0000253D" w:rsidRPr="007A3CBA" w:rsidRDefault="0000253D" w:rsidP="000025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Обслуживание нестационарными формами осуществляется 20 передви</w:t>
      </w:r>
      <w:r w:rsidRPr="007A3CBA">
        <w:rPr>
          <w:rFonts w:ascii="Times New Roman" w:hAnsi="Times New Roman"/>
          <w:sz w:val="28"/>
          <w:szCs w:val="28"/>
        </w:rPr>
        <w:t>ж</w:t>
      </w:r>
      <w:r w:rsidRPr="007A3CBA">
        <w:rPr>
          <w:rFonts w:ascii="Times New Roman" w:hAnsi="Times New Roman"/>
          <w:sz w:val="28"/>
          <w:szCs w:val="28"/>
        </w:rPr>
        <w:t>ными библиотеками и пунктами выдачи.</w:t>
      </w:r>
    </w:p>
    <w:p w:rsidR="0000253D" w:rsidRPr="007A3CBA" w:rsidRDefault="0000253D" w:rsidP="0000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Общие затраты на комплектование фондов библиотеки и подписку на п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риодические издания из бюджетов районного, городского и сельских поселений муниципального образования Тимашевский район в 2016 году составили 1597,1 тыс.руб.</w:t>
      </w:r>
    </w:p>
    <w:p w:rsidR="0000253D" w:rsidRPr="007A3CBA" w:rsidRDefault="0000253D" w:rsidP="000025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На приобретение книжной продукции израсходовано 973,2 </w:t>
      </w:r>
      <w:proofErr w:type="spellStart"/>
      <w:r w:rsidRPr="007A3CBA">
        <w:rPr>
          <w:rFonts w:ascii="Times New Roman" w:hAnsi="Times New Roman"/>
          <w:sz w:val="28"/>
          <w:szCs w:val="28"/>
        </w:rPr>
        <w:t>т.р</w:t>
      </w:r>
      <w:proofErr w:type="spellEnd"/>
      <w:r w:rsidRPr="007A3CBA">
        <w:rPr>
          <w:rFonts w:ascii="Times New Roman" w:hAnsi="Times New Roman"/>
          <w:sz w:val="28"/>
          <w:szCs w:val="28"/>
        </w:rPr>
        <w:t>., на офор</w:t>
      </w:r>
      <w:r w:rsidRPr="007A3CBA">
        <w:rPr>
          <w:rFonts w:ascii="Times New Roman" w:hAnsi="Times New Roman"/>
          <w:sz w:val="28"/>
          <w:szCs w:val="28"/>
        </w:rPr>
        <w:t>м</w:t>
      </w:r>
      <w:r w:rsidRPr="007A3CBA">
        <w:rPr>
          <w:rFonts w:ascii="Times New Roman" w:hAnsi="Times New Roman"/>
          <w:sz w:val="28"/>
          <w:szCs w:val="28"/>
        </w:rPr>
        <w:t xml:space="preserve">ление подписки на периодические издания 623,9 </w:t>
      </w:r>
      <w:proofErr w:type="spellStart"/>
      <w:r w:rsidRPr="007A3CBA">
        <w:rPr>
          <w:rFonts w:ascii="Times New Roman" w:hAnsi="Times New Roman"/>
          <w:sz w:val="28"/>
          <w:szCs w:val="28"/>
        </w:rPr>
        <w:t>т.р</w:t>
      </w:r>
      <w:proofErr w:type="spellEnd"/>
      <w:r w:rsidRPr="007A3CBA">
        <w:rPr>
          <w:rFonts w:ascii="Times New Roman" w:hAnsi="Times New Roman"/>
          <w:sz w:val="28"/>
          <w:szCs w:val="28"/>
        </w:rPr>
        <w:t>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В 2016 году было число читателей 34436 человек, что больше чем 2015 году на 471 человека. Увеличилось число посещений библиотек на 6837 раз, данный показатель в 2016 году составил 272150. Соответственно произошло увеличение книговыдачи на 8989.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 Основные показатели библиотек представлены в диаграмме: </w:t>
      </w: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5A492E0" wp14:editId="15A359CB">
            <wp:extent cx="5334000" cy="2886075"/>
            <wp:effectExtent l="0" t="0" r="19050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0253D" w:rsidRPr="007A3CBA" w:rsidRDefault="0000253D" w:rsidP="00002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Без сомнения, одно из самых любимых и популярных мест отдыха жит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лей Тимашевского района является городской парк культуры и отдыха. На те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ритории парка расположено 13 досуговых объектов: механизированные аттра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ционы; караоке; сцена; волейбольная площадка;  Фонтан; «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Тимашевский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 xml:space="preserve">бат», 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скейт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-парк и другие.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Доход парка от платных услуг в 2016 году составил 2628,4 тыс. руб.</w:t>
      </w:r>
    </w:p>
    <w:p w:rsidR="0000253D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7A3CBA" w:rsidRDefault="007A3CBA" w:rsidP="00DB60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7A3CBA" w:rsidRDefault="007A3CBA" w:rsidP="00DB60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24C91" w:rsidRPr="007A3CBA" w:rsidRDefault="00DB6061" w:rsidP="00DB60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Доход парка от предоставления платных услуг в 2014-2016 гг., тыс</w:t>
      </w:r>
      <w:proofErr w:type="gramStart"/>
      <w:r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7A3CBA">
        <w:rPr>
          <w:rFonts w:ascii="Times New Roman" w:eastAsia="Times New Roman" w:hAnsi="Times New Roman"/>
          <w:b/>
          <w:sz w:val="28"/>
          <w:szCs w:val="28"/>
          <w:lang w:eastAsia="ru-RU"/>
        </w:rPr>
        <w:t>уб.</w:t>
      </w:r>
    </w:p>
    <w:p w:rsidR="00DB6061" w:rsidRPr="007A3CBA" w:rsidRDefault="00DB6061" w:rsidP="00DB60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AD6252" wp14:editId="0FA1C19A">
            <wp:extent cx="5229225" cy="1943100"/>
            <wp:effectExtent l="0" t="0" r="9525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B6061" w:rsidRPr="007A3CBA" w:rsidRDefault="00DB6061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 xml:space="preserve">За прошедший год в 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МБУК«ГПКиО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 xml:space="preserve">» было проведено 74 культурно-досуговых </w:t>
      </w:r>
      <w:r w:rsidR="00D440FE" w:rsidRPr="007A3CBA">
        <w:rPr>
          <w:rFonts w:ascii="Times New Roman" w:eastAsia="Times New Roman" w:hAnsi="Times New Roman"/>
          <w:sz w:val="28"/>
          <w:szCs w:val="28"/>
          <w:lang w:eastAsia="ar-SA"/>
        </w:rPr>
        <w:t>мероприятия,</w:t>
      </w:r>
      <w:r w:rsidR="00D440FE"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присутствовало  12751  человек.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Многие из мероприятий стали настоящим праздником для посетителей парка: День защиты детей, День России, «Молодежный парад невест-2015», ф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ar-SA"/>
        </w:rPr>
        <w:t>стиваль красок «COLORFEST», конкурс красоты   «Мисс Тимашевск – 2015», краевой фестиваль «Народный марафон «Урожай победы» и другие.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Культурно-массовые мероприятия в парке организуются совместно с о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делом культуры, МРДК 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им.В.М.Толстых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, ГДК, МКЦ и комитетом по делам м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лодежи, районным отделом по физической культуре и спорту, штатными р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ботниками, а также с привлечением  детских творческих коллективов.</w:t>
      </w:r>
      <w:r w:rsidRPr="007A3C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0253D" w:rsidRPr="007A3CBA" w:rsidRDefault="0000253D" w:rsidP="00002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Для эффективной круглогодичной работы МБУК «</w:t>
      </w:r>
      <w:proofErr w:type="spellStart"/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ГПКиО</w:t>
      </w:r>
      <w:proofErr w:type="spellEnd"/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» для улучш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ния культурно-досуговой и спортивно-оздоровительной работы, необходимо отапливаемое помещение, дополнительное приобретение аттракционной те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ники для юношества и взрослых, так как в данный момент большинство  а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тракционов предназначено для детей дошкольного и младшего школьного во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7A3C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раста. 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В рамках муниципальной программы муниципального образования Т</w:t>
      </w:r>
      <w:r w:rsidRPr="007A3CBA">
        <w:rPr>
          <w:rFonts w:ascii="Times New Roman" w:hAnsi="Times New Roman"/>
          <w:sz w:val="28"/>
          <w:szCs w:val="28"/>
        </w:rPr>
        <w:t>и</w:t>
      </w:r>
      <w:r w:rsidRPr="007A3CBA">
        <w:rPr>
          <w:rFonts w:ascii="Times New Roman" w:hAnsi="Times New Roman"/>
          <w:sz w:val="28"/>
          <w:szCs w:val="28"/>
        </w:rPr>
        <w:t>машевский район «Развитие культуры» в текущем году из местного бюджета выделено 18068,0 тыс. руб. на капитальный ремонт фасада, кровли а так же р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 xml:space="preserve">монт зрительного зала </w:t>
      </w:r>
      <w:proofErr w:type="spellStart"/>
      <w:r w:rsidRPr="007A3CBA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районного дома культуры им. </w:t>
      </w:r>
      <w:proofErr w:type="spellStart"/>
      <w:r w:rsidRPr="007A3CBA">
        <w:rPr>
          <w:rFonts w:ascii="Times New Roman" w:hAnsi="Times New Roman"/>
          <w:sz w:val="28"/>
          <w:szCs w:val="28"/>
        </w:rPr>
        <w:t>В.М.Толстых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, ремонтные работы продолжаются. 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Из краевого бюджета выделены средства на укрепление материально-технической базы МБУК МРДК </w:t>
      </w:r>
      <w:proofErr w:type="spellStart"/>
      <w:r w:rsidRPr="007A3CBA">
        <w:rPr>
          <w:rFonts w:ascii="Times New Roman" w:hAnsi="Times New Roman"/>
          <w:sz w:val="28"/>
          <w:szCs w:val="28"/>
        </w:rPr>
        <w:t>им.В.М.Толстых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4817,1 </w:t>
      </w:r>
      <w:proofErr w:type="spellStart"/>
      <w:r w:rsidRPr="007A3CB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A3CBA">
        <w:rPr>
          <w:rFonts w:ascii="Times New Roman" w:hAnsi="Times New Roman"/>
          <w:sz w:val="28"/>
          <w:szCs w:val="28"/>
        </w:rPr>
        <w:t>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Из местного бюджета на ремонт фасада  МБУК «Тимашевская </w:t>
      </w:r>
      <w:proofErr w:type="spellStart"/>
      <w:r w:rsidRPr="007A3CBA">
        <w:rPr>
          <w:rFonts w:ascii="Times New Roman" w:hAnsi="Times New Roman"/>
          <w:sz w:val="28"/>
          <w:szCs w:val="28"/>
        </w:rPr>
        <w:t>межпос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ленческая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центральная библиотека» израсходовано 500,0 тыс. руб.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Из бюджета Тимашевского городского поселения на текущий ремонт зрительного зала (покраска стен) Городского дома культуры им. </w:t>
      </w:r>
      <w:proofErr w:type="spellStart"/>
      <w:r w:rsidRPr="007A3CBA">
        <w:rPr>
          <w:rFonts w:ascii="Times New Roman" w:hAnsi="Times New Roman"/>
          <w:sz w:val="28"/>
          <w:szCs w:val="28"/>
        </w:rPr>
        <w:t>В.И.Безобразова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израсходовано около 200,0 тыс. руб.</w:t>
      </w:r>
    </w:p>
    <w:p w:rsidR="0000253D" w:rsidRPr="007A3CBA" w:rsidRDefault="0000253D" w:rsidP="00002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На текущий ремонт Незаймановского дома культуры и сельского клуба хутора </w:t>
      </w:r>
      <w:proofErr w:type="spellStart"/>
      <w:r w:rsidRPr="007A3CBA">
        <w:rPr>
          <w:rFonts w:ascii="Times New Roman" w:hAnsi="Times New Roman"/>
          <w:sz w:val="28"/>
          <w:szCs w:val="28"/>
        </w:rPr>
        <w:t>Стринского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за счет спонсорских средств израсходовано 50 тыс. руб. и 300,0 тыс. соответственно.</w:t>
      </w: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6071">
        <w:rPr>
          <w:rFonts w:ascii="Times New Roman" w:eastAsiaTheme="minorHAnsi" w:hAnsi="Times New Roman"/>
          <w:b/>
          <w:bCs/>
          <w:sz w:val="28"/>
          <w:szCs w:val="28"/>
        </w:rPr>
        <w:t>Проблемы</w:t>
      </w:r>
      <w:r w:rsidR="007A3CBA">
        <w:rPr>
          <w:rFonts w:ascii="Times New Roman" w:eastAsiaTheme="minorHAnsi" w:hAnsi="Times New Roman"/>
          <w:bCs/>
          <w:sz w:val="28"/>
          <w:szCs w:val="28"/>
        </w:rPr>
        <w:t xml:space="preserve"> отрасли культуры</w:t>
      </w:r>
      <w:r w:rsidRPr="009E6071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6071">
        <w:rPr>
          <w:rFonts w:ascii="Times New Roman" w:eastAsiaTheme="minorHAnsi" w:hAnsi="Times New Roman"/>
          <w:bCs/>
          <w:sz w:val="28"/>
          <w:szCs w:val="28"/>
        </w:rPr>
        <w:t>1. Уровень фактической обеспеченности учреждениями культуры от но</w:t>
      </w:r>
      <w:r w:rsidRPr="009E6071">
        <w:rPr>
          <w:rFonts w:ascii="Times New Roman" w:eastAsiaTheme="minorHAnsi" w:hAnsi="Times New Roman"/>
          <w:bCs/>
          <w:sz w:val="28"/>
          <w:szCs w:val="28"/>
        </w:rPr>
        <w:t>р</w:t>
      </w:r>
      <w:r w:rsidRPr="009E6071">
        <w:rPr>
          <w:rFonts w:ascii="Times New Roman" w:eastAsiaTheme="minorHAnsi" w:hAnsi="Times New Roman"/>
          <w:bCs/>
          <w:sz w:val="28"/>
          <w:szCs w:val="28"/>
        </w:rPr>
        <w:t>мативной потребности составляет:</w:t>
      </w: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6071">
        <w:rPr>
          <w:rFonts w:ascii="Times New Roman" w:eastAsiaTheme="minorHAnsi" w:hAnsi="Times New Roman"/>
          <w:bCs/>
          <w:sz w:val="28"/>
          <w:szCs w:val="28"/>
        </w:rPr>
        <w:t>- клубными учреждениями 85,7%;</w:t>
      </w: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6071">
        <w:rPr>
          <w:rFonts w:ascii="Times New Roman" w:eastAsiaTheme="minorHAnsi" w:hAnsi="Times New Roman"/>
          <w:bCs/>
          <w:sz w:val="28"/>
          <w:szCs w:val="28"/>
        </w:rPr>
        <w:lastRenderedPageBreak/>
        <w:t>- библиотеками 84,6%;</w:t>
      </w:r>
    </w:p>
    <w:p w:rsidR="009E6071" w:rsidRPr="009E6071" w:rsidRDefault="009E6071" w:rsidP="009E6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6071">
        <w:rPr>
          <w:rFonts w:ascii="Times New Roman" w:eastAsiaTheme="minorHAnsi" w:hAnsi="Times New Roman"/>
          <w:bCs/>
          <w:sz w:val="28"/>
          <w:szCs w:val="28"/>
        </w:rPr>
        <w:t>- парками культуры и отдыха 50%.</w:t>
      </w:r>
    </w:p>
    <w:p w:rsidR="007A3CBA" w:rsidRDefault="009E6071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Pr="009E6071">
        <w:rPr>
          <w:rFonts w:ascii="Times New Roman" w:hAnsi="Times New Roman"/>
          <w:sz w:val="28"/>
          <w:szCs w:val="28"/>
        </w:rPr>
        <w:t>Слабая, устаревшая материально-техническая база учреждений культ</w:t>
      </w:r>
      <w:r w:rsidRPr="009E6071">
        <w:rPr>
          <w:rFonts w:ascii="Times New Roman" w:hAnsi="Times New Roman"/>
          <w:sz w:val="28"/>
          <w:szCs w:val="28"/>
        </w:rPr>
        <w:t>у</w:t>
      </w:r>
      <w:r w:rsidRPr="009E6071">
        <w:rPr>
          <w:rFonts w:ascii="Times New Roman" w:hAnsi="Times New Roman"/>
          <w:sz w:val="28"/>
          <w:szCs w:val="28"/>
        </w:rPr>
        <w:t>ры района и нехватка средств на ее модернизацию, что затрудняет предоста</w:t>
      </w:r>
      <w:r w:rsidRPr="009E6071">
        <w:rPr>
          <w:rFonts w:ascii="Times New Roman" w:hAnsi="Times New Roman"/>
          <w:sz w:val="28"/>
          <w:szCs w:val="28"/>
        </w:rPr>
        <w:t>в</w:t>
      </w:r>
      <w:r w:rsidRPr="009E6071">
        <w:rPr>
          <w:rFonts w:ascii="Times New Roman" w:hAnsi="Times New Roman"/>
          <w:sz w:val="28"/>
          <w:szCs w:val="28"/>
        </w:rPr>
        <w:t>ление муниципальных услуг на должном уровне.</w:t>
      </w:r>
    </w:p>
    <w:p w:rsidR="007A3CBA" w:rsidRDefault="007A3CBA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6071" w:rsidRPr="009E6071">
        <w:rPr>
          <w:rFonts w:ascii="Times New Roman" w:hAnsi="Times New Roman"/>
          <w:sz w:val="28"/>
          <w:szCs w:val="28"/>
        </w:rPr>
        <w:t>. Необходима реконструкция МРДК с пристройкой репетиционных ко</w:t>
      </w:r>
      <w:r w:rsidR="009E6071" w:rsidRPr="009E60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нат.</w:t>
      </w:r>
    </w:p>
    <w:p w:rsidR="007A3CBA" w:rsidRDefault="007A3CBA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6071" w:rsidRPr="009E6071">
        <w:rPr>
          <w:rFonts w:ascii="Times New Roman" w:hAnsi="Times New Roman"/>
          <w:sz w:val="28"/>
          <w:szCs w:val="28"/>
        </w:rPr>
        <w:t>. В городском парке культуры и отдыха необходима постройка стаци</w:t>
      </w:r>
      <w:r w:rsidR="009E6071" w:rsidRPr="009E6071">
        <w:rPr>
          <w:rFonts w:ascii="Times New Roman" w:hAnsi="Times New Roman"/>
          <w:sz w:val="28"/>
          <w:szCs w:val="28"/>
        </w:rPr>
        <w:t>о</w:t>
      </w:r>
      <w:r w:rsidR="009E6071" w:rsidRPr="009E6071">
        <w:rPr>
          <w:rFonts w:ascii="Times New Roman" w:hAnsi="Times New Roman"/>
          <w:sz w:val="28"/>
          <w:szCs w:val="28"/>
        </w:rPr>
        <w:t>нарного здания (либо установка модуля), что позволит обеспечить работу парка в течение всего года. Также необходимо приобретение не менее 2-3 аттракци</w:t>
      </w:r>
      <w:r w:rsidR="009E6071" w:rsidRPr="009E6071">
        <w:rPr>
          <w:rFonts w:ascii="Times New Roman" w:hAnsi="Times New Roman"/>
          <w:sz w:val="28"/>
          <w:szCs w:val="28"/>
        </w:rPr>
        <w:t>о</w:t>
      </w:r>
      <w:r w:rsidR="009E6071" w:rsidRPr="009E6071">
        <w:rPr>
          <w:rFonts w:ascii="Times New Roman" w:hAnsi="Times New Roman"/>
          <w:sz w:val="28"/>
          <w:szCs w:val="28"/>
        </w:rPr>
        <w:t>нов для молодежи и взрослых.</w:t>
      </w:r>
    </w:p>
    <w:p w:rsidR="007A3CBA" w:rsidRDefault="007A3CBA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E6071" w:rsidRPr="009E6071">
        <w:rPr>
          <w:rFonts w:ascii="Times New Roman" w:hAnsi="Times New Roman"/>
          <w:sz w:val="28"/>
          <w:szCs w:val="28"/>
        </w:rPr>
        <w:t>Доля зданий учреждений культуры, требующих ремонта, составляет более 42%.</w:t>
      </w:r>
      <w:r w:rsidRPr="007A3CBA">
        <w:rPr>
          <w:rFonts w:ascii="Times New Roman" w:hAnsi="Times New Roman"/>
          <w:sz w:val="28"/>
          <w:szCs w:val="28"/>
        </w:rPr>
        <w:t xml:space="preserve"> </w:t>
      </w:r>
      <w:r w:rsidRPr="009E6071">
        <w:rPr>
          <w:rFonts w:ascii="Times New Roman" w:hAnsi="Times New Roman"/>
          <w:sz w:val="28"/>
          <w:szCs w:val="28"/>
        </w:rPr>
        <w:t>Необходимо увеличение учебных площадей в детской худож</w:t>
      </w:r>
      <w:r w:rsidRPr="009E6071">
        <w:rPr>
          <w:rFonts w:ascii="Times New Roman" w:hAnsi="Times New Roman"/>
          <w:sz w:val="28"/>
          <w:szCs w:val="28"/>
        </w:rPr>
        <w:t>е</w:t>
      </w:r>
      <w:r w:rsidRPr="009E6071">
        <w:rPr>
          <w:rFonts w:ascii="Times New Roman" w:hAnsi="Times New Roman"/>
          <w:sz w:val="28"/>
          <w:szCs w:val="28"/>
        </w:rPr>
        <w:t>ственной школе г. Тимашевска.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E6071" w:rsidRPr="009E6071">
        <w:rPr>
          <w:rFonts w:ascii="Times New Roman" w:hAnsi="Times New Roman"/>
          <w:sz w:val="28"/>
          <w:szCs w:val="28"/>
        </w:rPr>
        <w:t xml:space="preserve">Необходимо открытие детских школ искусств в </w:t>
      </w:r>
      <w:proofErr w:type="spellStart"/>
      <w:r w:rsidR="009E6071" w:rsidRPr="009E6071">
        <w:rPr>
          <w:rFonts w:ascii="Times New Roman" w:hAnsi="Times New Roman"/>
          <w:sz w:val="28"/>
          <w:szCs w:val="28"/>
        </w:rPr>
        <w:t>Медведовском</w:t>
      </w:r>
      <w:proofErr w:type="spellEnd"/>
      <w:r w:rsidR="009E6071" w:rsidRPr="009E60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6071" w:rsidRPr="009E6071">
        <w:rPr>
          <w:rFonts w:ascii="Times New Roman" w:hAnsi="Times New Roman"/>
          <w:sz w:val="28"/>
          <w:szCs w:val="28"/>
        </w:rPr>
        <w:t>Новокорсунском</w:t>
      </w:r>
      <w:proofErr w:type="spellEnd"/>
      <w:r w:rsidR="009E6071" w:rsidRPr="009E607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6071" w:rsidRPr="009E6071">
        <w:rPr>
          <w:rFonts w:ascii="Times New Roman" w:hAnsi="Times New Roman"/>
          <w:sz w:val="28"/>
          <w:szCs w:val="28"/>
        </w:rPr>
        <w:t>Днепровском</w:t>
      </w:r>
      <w:proofErr w:type="gramEnd"/>
      <w:r w:rsidR="009E6071" w:rsidRPr="009E6071">
        <w:rPr>
          <w:rFonts w:ascii="Times New Roman" w:hAnsi="Times New Roman"/>
          <w:sz w:val="28"/>
          <w:szCs w:val="28"/>
        </w:rPr>
        <w:t xml:space="preserve"> сельских поселениях.</w:t>
      </w:r>
    </w:p>
    <w:p w:rsidR="009E6071" w:rsidRPr="009E6071" w:rsidRDefault="007A3CBA" w:rsidP="007A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E6071" w:rsidRPr="009E6071">
        <w:rPr>
          <w:rFonts w:ascii="Times New Roman" w:hAnsi="Times New Roman"/>
          <w:sz w:val="28"/>
          <w:szCs w:val="28"/>
        </w:rPr>
        <w:t>В капитальном ремонте нуждаются:</w:t>
      </w:r>
    </w:p>
    <w:p w:rsidR="009E6071" w:rsidRPr="009E6071" w:rsidRDefault="009E6071" w:rsidP="009E6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9E6071">
        <w:rPr>
          <w:rFonts w:ascii="Times New Roman" w:hAnsi="Times New Roman"/>
          <w:sz w:val="28"/>
          <w:szCs w:val="28"/>
        </w:rPr>
        <w:t>Медведовском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сельском поселении - </w:t>
      </w:r>
      <w:proofErr w:type="spellStart"/>
      <w:r w:rsidRPr="009E6071">
        <w:rPr>
          <w:rFonts w:ascii="Times New Roman" w:hAnsi="Times New Roman"/>
          <w:sz w:val="28"/>
          <w:szCs w:val="28"/>
        </w:rPr>
        <w:t>Медведовский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СДК, СК </w:t>
      </w:r>
      <w:proofErr w:type="spellStart"/>
      <w:r w:rsidRPr="009E6071">
        <w:rPr>
          <w:rFonts w:ascii="Times New Roman" w:hAnsi="Times New Roman"/>
          <w:sz w:val="28"/>
          <w:szCs w:val="28"/>
        </w:rPr>
        <w:t>х</w:t>
      </w:r>
      <w:proofErr w:type="gramStart"/>
      <w:r w:rsidRPr="009E6071">
        <w:rPr>
          <w:rFonts w:ascii="Times New Roman" w:hAnsi="Times New Roman"/>
          <w:sz w:val="28"/>
          <w:szCs w:val="28"/>
        </w:rPr>
        <w:t>.Л</w:t>
      </w:r>
      <w:proofErr w:type="gramEnd"/>
      <w:r w:rsidRPr="009E6071">
        <w:rPr>
          <w:rFonts w:ascii="Times New Roman" w:hAnsi="Times New Roman"/>
          <w:sz w:val="28"/>
          <w:szCs w:val="28"/>
        </w:rPr>
        <w:t>енинский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, СК </w:t>
      </w:r>
      <w:proofErr w:type="spellStart"/>
      <w:r w:rsidRPr="009E6071">
        <w:rPr>
          <w:rFonts w:ascii="Times New Roman" w:hAnsi="Times New Roman"/>
          <w:sz w:val="28"/>
          <w:szCs w:val="28"/>
        </w:rPr>
        <w:t>х.Большевик</w:t>
      </w:r>
      <w:proofErr w:type="spellEnd"/>
      <w:r w:rsidRPr="009E6071">
        <w:rPr>
          <w:rFonts w:ascii="Times New Roman" w:hAnsi="Times New Roman"/>
          <w:sz w:val="28"/>
          <w:szCs w:val="28"/>
        </w:rPr>
        <w:t>;</w:t>
      </w:r>
    </w:p>
    <w:p w:rsidR="009E6071" w:rsidRPr="009E6071" w:rsidRDefault="009E6071" w:rsidP="009E6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Днепровском сельском поселении - </w:t>
      </w:r>
      <w:proofErr w:type="spellStart"/>
      <w:r w:rsidRPr="009E6071">
        <w:rPr>
          <w:rFonts w:ascii="Times New Roman" w:hAnsi="Times New Roman"/>
          <w:sz w:val="28"/>
          <w:szCs w:val="28"/>
        </w:rPr>
        <w:t>Димитровский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СДК;</w:t>
      </w:r>
    </w:p>
    <w:p w:rsidR="009E6071" w:rsidRPr="009E6071" w:rsidRDefault="009E6071" w:rsidP="009E6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9E6071">
        <w:rPr>
          <w:rFonts w:ascii="Times New Roman" w:hAnsi="Times New Roman"/>
          <w:sz w:val="28"/>
          <w:szCs w:val="28"/>
        </w:rPr>
        <w:t>Новокорсунском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сельском поселении - СК </w:t>
      </w:r>
      <w:proofErr w:type="spellStart"/>
      <w:r w:rsidRPr="009E6071">
        <w:rPr>
          <w:rFonts w:ascii="Times New Roman" w:hAnsi="Times New Roman"/>
          <w:sz w:val="28"/>
          <w:szCs w:val="28"/>
        </w:rPr>
        <w:t>х</w:t>
      </w:r>
      <w:proofErr w:type="gramStart"/>
      <w:r w:rsidRPr="009E6071">
        <w:rPr>
          <w:rFonts w:ascii="Times New Roman" w:hAnsi="Times New Roman"/>
          <w:sz w:val="28"/>
          <w:szCs w:val="28"/>
        </w:rPr>
        <w:t>.К</w:t>
      </w:r>
      <w:proofErr w:type="gramEnd"/>
      <w:r w:rsidRPr="009E6071">
        <w:rPr>
          <w:rFonts w:ascii="Times New Roman" w:hAnsi="Times New Roman"/>
          <w:sz w:val="28"/>
          <w:szCs w:val="28"/>
        </w:rPr>
        <w:t>расноармейский</w:t>
      </w:r>
      <w:proofErr w:type="spellEnd"/>
      <w:r w:rsidRPr="009E6071">
        <w:rPr>
          <w:rFonts w:ascii="Times New Roman" w:hAnsi="Times New Roman"/>
          <w:sz w:val="28"/>
          <w:szCs w:val="28"/>
        </w:rPr>
        <w:t>;</w:t>
      </w:r>
    </w:p>
    <w:p w:rsidR="009E6071" w:rsidRPr="009E6071" w:rsidRDefault="009E6071" w:rsidP="009E6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9E6071">
        <w:rPr>
          <w:rFonts w:ascii="Times New Roman" w:hAnsi="Times New Roman"/>
          <w:sz w:val="28"/>
          <w:szCs w:val="28"/>
        </w:rPr>
        <w:t>Роговском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сельском поселении - Роговской СДК;</w:t>
      </w:r>
    </w:p>
    <w:p w:rsidR="009E6071" w:rsidRPr="009E6071" w:rsidRDefault="009E6071" w:rsidP="009E6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Дербентском сельском поселении - </w:t>
      </w:r>
      <w:proofErr w:type="gramStart"/>
      <w:r w:rsidRPr="009E6071">
        <w:rPr>
          <w:rFonts w:ascii="Times New Roman" w:hAnsi="Times New Roman"/>
          <w:sz w:val="28"/>
          <w:szCs w:val="28"/>
        </w:rPr>
        <w:t>Дербентский</w:t>
      </w:r>
      <w:proofErr w:type="gramEnd"/>
      <w:r w:rsidRPr="009E6071">
        <w:rPr>
          <w:rFonts w:ascii="Times New Roman" w:hAnsi="Times New Roman"/>
          <w:sz w:val="28"/>
          <w:szCs w:val="28"/>
        </w:rPr>
        <w:t xml:space="preserve"> СДК, Дербентская библиотека;</w:t>
      </w:r>
    </w:p>
    <w:p w:rsidR="007A3CBA" w:rsidRPr="007A3CBA" w:rsidRDefault="009E6071" w:rsidP="007A3C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07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9E6071">
        <w:rPr>
          <w:rFonts w:ascii="Times New Roman" w:hAnsi="Times New Roman"/>
          <w:sz w:val="28"/>
          <w:szCs w:val="28"/>
        </w:rPr>
        <w:t>Новоленинском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сельском поселении - </w:t>
      </w:r>
      <w:proofErr w:type="spellStart"/>
      <w:r w:rsidRPr="009E6071">
        <w:rPr>
          <w:rFonts w:ascii="Times New Roman" w:hAnsi="Times New Roman"/>
          <w:sz w:val="28"/>
          <w:szCs w:val="28"/>
        </w:rPr>
        <w:t>Новоленинский</w:t>
      </w:r>
      <w:proofErr w:type="spellEnd"/>
      <w:r w:rsidRPr="009E6071">
        <w:rPr>
          <w:rFonts w:ascii="Times New Roman" w:hAnsi="Times New Roman"/>
          <w:sz w:val="28"/>
          <w:szCs w:val="28"/>
        </w:rPr>
        <w:t xml:space="preserve"> СДК.</w:t>
      </w:r>
    </w:p>
    <w:p w:rsidR="009E6071" w:rsidRPr="009E6071" w:rsidRDefault="007A3CBA" w:rsidP="007A3CB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Результаты проведенного мониторинга рынка услуг в сфере культуры     п</w:t>
      </w:r>
      <w:r w:rsidR="009E6071" w:rsidRPr="009E6071">
        <w:rPr>
          <w:rFonts w:ascii="Times New Roman" w:eastAsiaTheme="minorHAnsi" w:hAnsi="Times New Roman"/>
          <w:bCs/>
          <w:sz w:val="28"/>
          <w:szCs w:val="28"/>
        </w:rPr>
        <w:t>оказа</w:t>
      </w:r>
      <w:r>
        <w:rPr>
          <w:rFonts w:ascii="Times New Roman" w:eastAsiaTheme="minorHAnsi" w:hAnsi="Times New Roman"/>
          <w:bCs/>
          <w:sz w:val="28"/>
          <w:szCs w:val="28"/>
        </w:rPr>
        <w:t>ли, что</w:t>
      </w:r>
      <w:r w:rsidR="009E6071" w:rsidRPr="009E6071">
        <w:rPr>
          <w:rFonts w:ascii="Times New Roman" w:eastAsiaTheme="minorHAnsi" w:hAnsi="Times New Roman"/>
          <w:bCs/>
          <w:sz w:val="28"/>
          <w:szCs w:val="28"/>
        </w:rPr>
        <w:t xml:space="preserve"> «насыщенность» рын</w:t>
      </w:r>
      <w:r>
        <w:rPr>
          <w:rFonts w:ascii="Times New Roman" w:eastAsiaTheme="minorHAnsi" w:hAnsi="Times New Roman"/>
          <w:bCs/>
          <w:sz w:val="28"/>
          <w:szCs w:val="28"/>
        </w:rPr>
        <w:t>ка составляет 69,6%,</w:t>
      </w:r>
      <w:r w:rsidRPr="009E6071">
        <w:rPr>
          <w:rFonts w:ascii="Times New Roman" w:eastAsiaTheme="minorHAnsi" w:hAnsi="Times New Roman"/>
          <w:bCs/>
          <w:sz w:val="28"/>
          <w:szCs w:val="28"/>
        </w:rPr>
        <w:t>«удовлетворенность»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услугами данного рынка</w:t>
      </w:r>
      <w:r w:rsidRPr="007A3CB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составляет 85%.</w:t>
      </w:r>
    </w:p>
    <w:p w:rsidR="007A3CBA" w:rsidRDefault="007A3CBA" w:rsidP="007A3CBA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0379B3" w:rsidRPr="007A3CBA" w:rsidRDefault="000379B3" w:rsidP="007A3C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A3CBA">
        <w:rPr>
          <w:rFonts w:ascii="Times New Roman" w:hAnsi="Times New Roman"/>
          <w:b/>
          <w:sz w:val="28"/>
          <w:szCs w:val="28"/>
        </w:rPr>
        <w:t>2.3.7. Рынок услуг жилищно-коммунального хозяйства</w:t>
      </w:r>
    </w:p>
    <w:p w:rsidR="007A3CBA" w:rsidRPr="007A3CBA" w:rsidRDefault="007A3CBA" w:rsidP="007A3C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379B3" w:rsidRPr="007A3CBA" w:rsidRDefault="000379B3" w:rsidP="000379B3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Тимашевский район ос</w:t>
      </w:r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ществляют свою деятельность 5 крупных и 18 малых предприятий жилищно-коммунального хозяйства. К крупным относятся следующие предприятия: ООО «Коммунальник», филиал АО «АТЭК» «</w:t>
      </w:r>
      <w:proofErr w:type="spellStart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Тимашевские</w:t>
      </w:r>
      <w:proofErr w:type="spellEnd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тепловые сети», АО «</w:t>
      </w:r>
      <w:proofErr w:type="spellStart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Тимашевскрайгаз</w:t>
      </w:r>
      <w:proofErr w:type="spellEnd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АО «НЭСК-электросети», </w:t>
      </w:r>
      <w:proofErr w:type="spellStart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Тимашевские</w:t>
      </w:r>
      <w:proofErr w:type="spellEnd"/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электрические с</w:t>
      </w:r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филиала ПАО «Кубаньэнерго».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Население Тимашевского района обеспечено электричеством на 100 %. Обслуживают сельские поселения: филиал ПАО «Кубаньэнерго», Тимашевское городское поселение – филиал АО «НЭСК-электросети» - «</w:t>
      </w:r>
      <w:proofErr w:type="spellStart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Тимашевские</w:t>
      </w:r>
      <w:proofErr w:type="spellEnd"/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родские электросети».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Всего на территории района расположено 2524,87 км линий электропер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дач и 602 трансформаторных подстанций.</w:t>
      </w:r>
    </w:p>
    <w:p w:rsidR="000379B3" w:rsidRPr="007A3CBA" w:rsidRDefault="000379B3" w:rsidP="000379B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Источниками водоснабжения Тимашевского района являются водозабо</w:t>
      </w: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р</w:t>
      </w: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ные сооружения со скважинами в количестве 90 ед.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Протяженность сетей вод</w:t>
      </w: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7A3CBA">
        <w:rPr>
          <w:rFonts w:ascii="Times New Roman" w:eastAsia="Times New Roman" w:hAnsi="Times New Roman"/>
          <w:sz w:val="28"/>
          <w:szCs w:val="27"/>
          <w:lang w:eastAsia="ru-RU"/>
        </w:rPr>
        <w:t>снабжения составляет 600,5 км, износ – 75%.</w:t>
      </w:r>
    </w:p>
    <w:p w:rsidR="000379B3" w:rsidRPr="007A3CBA" w:rsidRDefault="000379B3" w:rsidP="000379B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7"/>
        </w:rPr>
      </w:pPr>
      <w:r w:rsidRPr="007A3CBA">
        <w:rPr>
          <w:rFonts w:ascii="Times New Roman" w:hAnsi="Times New Roman"/>
          <w:sz w:val="28"/>
          <w:szCs w:val="27"/>
        </w:rPr>
        <w:lastRenderedPageBreak/>
        <w:t>В Тимашевском районе услугами централизованной канализации обесп</w:t>
      </w:r>
      <w:r w:rsidRPr="007A3CBA">
        <w:rPr>
          <w:rFonts w:ascii="Times New Roman" w:hAnsi="Times New Roman"/>
          <w:sz w:val="28"/>
          <w:szCs w:val="27"/>
        </w:rPr>
        <w:t>е</w:t>
      </w:r>
      <w:r w:rsidRPr="007A3CBA">
        <w:rPr>
          <w:rFonts w:ascii="Times New Roman" w:hAnsi="Times New Roman"/>
          <w:sz w:val="28"/>
          <w:szCs w:val="27"/>
        </w:rPr>
        <w:t>ченно 25% населения от общего числа жителей района.</w:t>
      </w:r>
    </w:p>
    <w:p w:rsidR="000379B3" w:rsidRPr="007A3CBA" w:rsidRDefault="000379B3" w:rsidP="000379B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7"/>
        </w:rPr>
      </w:pPr>
      <w:r w:rsidRPr="007A3CBA">
        <w:rPr>
          <w:rFonts w:ascii="Times New Roman" w:hAnsi="Times New Roman"/>
          <w:sz w:val="28"/>
          <w:szCs w:val="27"/>
        </w:rPr>
        <w:t>Очистные сооружения г.Тимашевска производительностью 8 000 м</w:t>
      </w:r>
      <w:r w:rsidRPr="007A3CBA">
        <w:rPr>
          <w:rFonts w:ascii="Times New Roman" w:hAnsi="Times New Roman"/>
          <w:sz w:val="28"/>
          <w:szCs w:val="27"/>
          <w:vertAlign w:val="superscript"/>
        </w:rPr>
        <w:t>3</w:t>
      </w:r>
      <w:r w:rsidRPr="007A3CBA">
        <w:rPr>
          <w:rFonts w:ascii="Times New Roman" w:hAnsi="Times New Roman"/>
          <w:sz w:val="28"/>
          <w:szCs w:val="27"/>
        </w:rPr>
        <w:t xml:space="preserve"> в сутки, </w:t>
      </w:r>
      <w:proofErr w:type="spellStart"/>
      <w:r w:rsidRPr="007A3CBA">
        <w:rPr>
          <w:rFonts w:ascii="Times New Roman" w:hAnsi="Times New Roman"/>
          <w:sz w:val="28"/>
          <w:szCs w:val="27"/>
        </w:rPr>
        <w:t>мкр.Садовод</w:t>
      </w:r>
      <w:proofErr w:type="spellEnd"/>
      <w:r w:rsidRPr="007A3CBA">
        <w:rPr>
          <w:rFonts w:ascii="Times New Roman" w:hAnsi="Times New Roman"/>
          <w:sz w:val="28"/>
          <w:szCs w:val="27"/>
        </w:rPr>
        <w:t xml:space="preserve"> – 2 100 м</w:t>
      </w:r>
      <w:r w:rsidRPr="007A3CBA">
        <w:rPr>
          <w:rFonts w:ascii="Times New Roman" w:hAnsi="Times New Roman"/>
          <w:sz w:val="28"/>
          <w:szCs w:val="27"/>
          <w:vertAlign w:val="superscript"/>
        </w:rPr>
        <w:t>3</w:t>
      </w:r>
      <w:r w:rsidRPr="007A3CBA">
        <w:rPr>
          <w:rFonts w:ascii="Times New Roman" w:hAnsi="Times New Roman"/>
          <w:sz w:val="28"/>
          <w:szCs w:val="27"/>
        </w:rPr>
        <w:t xml:space="preserve"> в сутки. Протяженность канализационной сети составляет 66,2 км.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Предприятия ЖКХ находятся в сложных экономических условиях, одн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ко предприятию ООО «Коммунальник» удалось сохранить коллектив, матер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ально-техническую базу и выполнять все работы по модернизации, ремонту и обслуживанию водо-канализационного комплекса.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За счет себестоимости оказываемых предприятием услуг в 2016 году в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полнены ремонтно-восстановительные работы на водопроводных и канализ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ционных сетях на сумму более 11 млн. рублей, что позволило улучшить кач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ство представляемых населению слуг и снизить количество аварийных ситу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ций.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Выполнение мероприятий по ремонту и замене водопроводных сетей, строительству водозаборов на территории поселений Тимашевского района позволит снизить потери воды в системе водоснабжения. Строительство и р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монт водозаборных сооружений позволило обеспечить населенные пункты централизованным водоснабжением и дало повышение качества предоставля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мых услуг по подаче воды, появилась дополнительная возможность подключ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3CBA">
        <w:rPr>
          <w:rFonts w:ascii="Times New Roman" w:eastAsia="Times New Roman" w:hAnsi="Times New Roman"/>
          <w:sz w:val="28"/>
          <w:szCs w:val="28"/>
          <w:lang w:eastAsia="ru-RU"/>
        </w:rPr>
        <w:t>ния новых потребителей.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Теплоснабжение социальных объектов и жилого фонда осуществляется филиалом АО «АТЭК» «</w:t>
      </w:r>
      <w:proofErr w:type="spellStart"/>
      <w:r w:rsidRPr="007A3CBA">
        <w:rPr>
          <w:rFonts w:ascii="Times New Roman" w:hAnsi="Times New Roman"/>
          <w:sz w:val="28"/>
          <w:szCs w:val="28"/>
        </w:rPr>
        <w:t>Тимашевские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тепловые сети» и ведомственными к</w:t>
      </w:r>
      <w:r w:rsidRPr="007A3CBA">
        <w:rPr>
          <w:rFonts w:ascii="Times New Roman" w:hAnsi="Times New Roman"/>
          <w:sz w:val="28"/>
          <w:szCs w:val="28"/>
        </w:rPr>
        <w:t>о</w:t>
      </w:r>
      <w:r w:rsidRPr="007A3CBA">
        <w:rPr>
          <w:rFonts w:ascii="Times New Roman" w:hAnsi="Times New Roman"/>
          <w:sz w:val="28"/>
          <w:szCs w:val="28"/>
        </w:rPr>
        <w:t xml:space="preserve">тельными.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Всего в муниципальном образовании Тимашевский район 39 котельных, обслуживающих объекты жилищно-коммунального комплекса и социальной сферы, в т.ч.  33 муниципальных </w:t>
      </w:r>
      <w:r w:rsidRPr="007A3CBA">
        <w:rPr>
          <w:rFonts w:ascii="Times New Roman" w:hAnsi="Times New Roman"/>
          <w:i/>
          <w:sz w:val="28"/>
          <w:szCs w:val="28"/>
        </w:rPr>
        <w:t>(филиал АО «АТЭК» «</w:t>
      </w:r>
      <w:proofErr w:type="spellStart"/>
      <w:r w:rsidRPr="007A3CBA">
        <w:rPr>
          <w:rFonts w:ascii="Times New Roman" w:hAnsi="Times New Roman"/>
          <w:i/>
          <w:sz w:val="28"/>
          <w:szCs w:val="28"/>
        </w:rPr>
        <w:t>Тимашевские</w:t>
      </w:r>
      <w:proofErr w:type="spellEnd"/>
      <w:r w:rsidRPr="007A3CBA">
        <w:rPr>
          <w:rFonts w:ascii="Times New Roman" w:hAnsi="Times New Roman"/>
          <w:i/>
          <w:sz w:val="28"/>
          <w:szCs w:val="28"/>
        </w:rPr>
        <w:t xml:space="preserve"> тепловые сети»)</w:t>
      </w:r>
      <w:r w:rsidRPr="007A3CBA">
        <w:rPr>
          <w:rFonts w:ascii="Times New Roman" w:hAnsi="Times New Roman"/>
          <w:sz w:val="28"/>
          <w:szCs w:val="28"/>
        </w:rPr>
        <w:t xml:space="preserve">, 6 ведомственных.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Протяженность тепловых сетей составляет 61,3 км, износ 70%.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Теплоснабжающие предприятия обслуживают 6116 абонентов по отопл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 xml:space="preserve">нию и 4751 абонента по ГВС. Полезный отпуск тепла составляет 47,89 тыс. Гкал.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Потребности абонентов в тепловой энергии покрываются теплоснабж</w:t>
      </w:r>
      <w:r w:rsidRPr="007A3CBA">
        <w:rPr>
          <w:rFonts w:ascii="Times New Roman" w:hAnsi="Times New Roman"/>
          <w:sz w:val="28"/>
          <w:szCs w:val="28"/>
        </w:rPr>
        <w:t>а</w:t>
      </w:r>
      <w:r w:rsidRPr="007A3CBA">
        <w:rPr>
          <w:rFonts w:ascii="Times New Roman" w:hAnsi="Times New Roman"/>
          <w:sz w:val="28"/>
          <w:szCs w:val="28"/>
        </w:rPr>
        <w:t>ющими организациями полностью. Ввиду износа теплотрасс и основного об</w:t>
      </w:r>
      <w:r w:rsidRPr="007A3CBA">
        <w:rPr>
          <w:rFonts w:ascii="Times New Roman" w:hAnsi="Times New Roman"/>
          <w:sz w:val="28"/>
          <w:szCs w:val="28"/>
        </w:rPr>
        <w:t>о</w:t>
      </w:r>
      <w:r w:rsidRPr="007A3CBA">
        <w:rPr>
          <w:rFonts w:ascii="Times New Roman" w:hAnsi="Times New Roman"/>
          <w:sz w:val="28"/>
          <w:szCs w:val="28"/>
        </w:rPr>
        <w:t>рудования (более 75%) предприятия теплосетей проводит их ремонт и реко</w:t>
      </w:r>
      <w:r w:rsidRPr="007A3CBA">
        <w:rPr>
          <w:rFonts w:ascii="Times New Roman" w:hAnsi="Times New Roman"/>
          <w:sz w:val="28"/>
          <w:szCs w:val="28"/>
        </w:rPr>
        <w:t>н</w:t>
      </w:r>
      <w:r w:rsidRPr="007A3CBA">
        <w:rPr>
          <w:rFonts w:ascii="Times New Roman" w:hAnsi="Times New Roman"/>
          <w:sz w:val="28"/>
          <w:szCs w:val="28"/>
        </w:rPr>
        <w:t>струкцию.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Специалистами теплоснабжающих предприятий для подготовки к отоп</w:t>
      </w:r>
      <w:r w:rsidRPr="007A3CBA">
        <w:rPr>
          <w:rFonts w:ascii="Times New Roman" w:hAnsi="Times New Roman"/>
          <w:sz w:val="28"/>
          <w:szCs w:val="28"/>
        </w:rPr>
        <w:t>и</w:t>
      </w:r>
      <w:r w:rsidRPr="007A3CBA">
        <w:rPr>
          <w:rFonts w:ascii="Times New Roman" w:hAnsi="Times New Roman"/>
          <w:sz w:val="28"/>
          <w:szCs w:val="28"/>
        </w:rPr>
        <w:t>тельному сезону 2016-2017 годов было отремонтировано 0,22 километров ве</w:t>
      </w:r>
      <w:r w:rsidRPr="007A3CBA">
        <w:rPr>
          <w:rFonts w:ascii="Times New Roman" w:hAnsi="Times New Roman"/>
          <w:sz w:val="28"/>
          <w:szCs w:val="28"/>
        </w:rPr>
        <w:t>т</w:t>
      </w:r>
      <w:r w:rsidRPr="007A3CBA">
        <w:rPr>
          <w:rFonts w:ascii="Times New Roman" w:hAnsi="Times New Roman"/>
          <w:sz w:val="28"/>
          <w:szCs w:val="28"/>
        </w:rPr>
        <w:t xml:space="preserve">хих и аварийных сетей, а также оборудование котельных на сумму более 5,0 миллионов рублей.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Реализация данных мероприятий позволила обеспечить бесперебойную работу теплоснабжающих предприятий в зимний период и предоставить кач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ственную подачу тепла населению и на социально-значимые объекты.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Общая протяженность газопроводов на территории муниципального о</w:t>
      </w:r>
      <w:r w:rsidRPr="007A3CBA">
        <w:rPr>
          <w:rFonts w:ascii="Times New Roman" w:hAnsi="Times New Roman"/>
          <w:sz w:val="28"/>
          <w:szCs w:val="28"/>
        </w:rPr>
        <w:t>б</w:t>
      </w:r>
      <w:r w:rsidRPr="007A3CBA">
        <w:rPr>
          <w:rFonts w:ascii="Times New Roman" w:hAnsi="Times New Roman"/>
          <w:sz w:val="28"/>
          <w:szCs w:val="28"/>
        </w:rPr>
        <w:t xml:space="preserve">разования составляет 1054,5 км, ШРП (ГРП, ГРУ) – 245 шт.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lastRenderedPageBreak/>
        <w:t>Потребители газа питаются от шести газораспределительных станций. Проектная производительность 895 млн. м3 в год, фактический годовой расход газа по муниципальному образованию в 2016 году 184,8 млн. м3, что составляет 20,6% от производительности.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Процент газификации сетевым природным газом населения составляет 94%.</w:t>
      </w:r>
    </w:p>
    <w:p w:rsidR="000379B3" w:rsidRPr="007A3CBA" w:rsidRDefault="000379B3" w:rsidP="000379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Основными </w:t>
      </w:r>
      <w:proofErr w:type="spellStart"/>
      <w:r w:rsidRPr="007A3CB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организациями являются:</w:t>
      </w:r>
    </w:p>
    <w:p w:rsidR="000379B3" w:rsidRPr="007A3CBA" w:rsidRDefault="000379B3" w:rsidP="000379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 xml:space="preserve">Тимашевский участок ООО «Газпром </w:t>
      </w:r>
      <w:proofErr w:type="spellStart"/>
      <w:r w:rsidRPr="007A3CBA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Краснодар» – 100% охват на территории района, филиал АО «АТЭК» «</w:t>
      </w:r>
      <w:proofErr w:type="spellStart"/>
      <w:r w:rsidRPr="007A3CBA">
        <w:rPr>
          <w:rFonts w:ascii="Times New Roman" w:hAnsi="Times New Roman"/>
          <w:sz w:val="28"/>
          <w:szCs w:val="28"/>
        </w:rPr>
        <w:t>Тимашевские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тепловые с</w:t>
      </w:r>
      <w:r w:rsidRPr="007A3CBA">
        <w:rPr>
          <w:rFonts w:ascii="Times New Roman" w:hAnsi="Times New Roman"/>
          <w:sz w:val="28"/>
          <w:szCs w:val="28"/>
        </w:rPr>
        <w:t>е</w:t>
      </w:r>
      <w:r w:rsidRPr="007A3CBA">
        <w:rPr>
          <w:rFonts w:ascii="Times New Roman" w:hAnsi="Times New Roman"/>
          <w:sz w:val="28"/>
          <w:szCs w:val="28"/>
        </w:rPr>
        <w:t>ти» - 96%, филиал АО «НЭСК» «</w:t>
      </w:r>
      <w:proofErr w:type="spellStart"/>
      <w:r w:rsidRPr="007A3CBA">
        <w:rPr>
          <w:rFonts w:ascii="Times New Roman" w:hAnsi="Times New Roman"/>
          <w:sz w:val="28"/>
          <w:szCs w:val="28"/>
        </w:rPr>
        <w:t>Тимашевскэнергосбыт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» – 50%, </w:t>
      </w:r>
      <w:proofErr w:type="spellStart"/>
      <w:r w:rsidRPr="007A3CBA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7A3CBA">
        <w:rPr>
          <w:rFonts w:ascii="Times New Roman" w:hAnsi="Times New Roman"/>
          <w:sz w:val="28"/>
          <w:szCs w:val="28"/>
        </w:rPr>
        <w:t xml:space="preserve"> филиал ОАО «</w:t>
      </w:r>
      <w:proofErr w:type="spellStart"/>
      <w:r w:rsidR="007A3CBA">
        <w:rPr>
          <w:rFonts w:ascii="Times New Roman" w:hAnsi="Times New Roman"/>
          <w:sz w:val="28"/>
          <w:szCs w:val="28"/>
        </w:rPr>
        <w:t>Кубаньэнергосбыт</w:t>
      </w:r>
      <w:proofErr w:type="spellEnd"/>
      <w:r w:rsidR="007A3CBA">
        <w:rPr>
          <w:rFonts w:ascii="Times New Roman" w:hAnsi="Times New Roman"/>
          <w:sz w:val="28"/>
          <w:szCs w:val="28"/>
        </w:rPr>
        <w:t>» – 50%,</w:t>
      </w:r>
      <w:r w:rsidRPr="007A3CBA">
        <w:rPr>
          <w:rFonts w:ascii="Times New Roman" w:hAnsi="Times New Roman"/>
          <w:sz w:val="28"/>
          <w:szCs w:val="28"/>
        </w:rPr>
        <w:t xml:space="preserve"> ООО «Коммунальник» - 62%. </w:t>
      </w:r>
    </w:p>
    <w:p w:rsidR="000379B3" w:rsidRPr="007A3CBA" w:rsidRDefault="000379B3" w:rsidP="00037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CBA">
        <w:rPr>
          <w:rFonts w:ascii="Times New Roman" w:hAnsi="Times New Roman"/>
          <w:sz w:val="28"/>
          <w:szCs w:val="28"/>
        </w:rPr>
        <w:t>На основании анализа анкетирования, проведенного на территории мун</w:t>
      </w:r>
      <w:r w:rsidRPr="007A3CBA">
        <w:rPr>
          <w:rFonts w:ascii="Times New Roman" w:hAnsi="Times New Roman"/>
          <w:sz w:val="28"/>
          <w:szCs w:val="28"/>
        </w:rPr>
        <w:t>и</w:t>
      </w:r>
      <w:r w:rsidRPr="007A3CBA">
        <w:rPr>
          <w:rFonts w:ascii="Times New Roman" w:hAnsi="Times New Roman"/>
          <w:sz w:val="28"/>
          <w:szCs w:val="28"/>
        </w:rPr>
        <w:t>ципального образования Тимашевский район, по развитию конкуренции и уд</w:t>
      </w:r>
      <w:r w:rsidRPr="007A3CBA">
        <w:rPr>
          <w:rFonts w:ascii="Times New Roman" w:hAnsi="Times New Roman"/>
          <w:sz w:val="28"/>
          <w:szCs w:val="28"/>
        </w:rPr>
        <w:t>о</w:t>
      </w:r>
      <w:r w:rsidRPr="007A3CBA">
        <w:rPr>
          <w:rFonts w:ascii="Times New Roman" w:hAnsi="Times New Roman"/>
          <w:sz w:val="28"/>
          <w:szCs w:val="28"/>
        </w:rPr>
        <w:t>влетворенности качеством товаров, работ, услуг получены следующие данные. Опрошено 716 человек.</w:t>
      </w:r>
    </w:p>
    <w:p w:rsidR="00C468EE" w:rsidRDefault="000379B3" w:rsidP="000379B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CBA">
        <w:rPr>
          <w:rFonts w:ascii="Times New Roman" w:hAnsi="Times New Roman"/>
          <w:sz w:val="28"/>
          <w:szCs w:val="28"/>
        </w:rPr>
        <w:t>Услуги по водоснабжению, водоотведению признаны удовлетворител</w:t>
      </w:r>
      <w:r w:rsidRPr="007A3CBA">
        <w:rPr>
          <w:rFonts w:ascii="Times New Roman" w:hAnsi="Times New Roman"/>
          <w:sz w:val="28"/>
          <w:szCs w:val="28"/>
        </w:rPr>
        <w:t>ь</w:t>
      </w:r>
      <w:r w:rsidRPr="007A3CBA">
        <w:rPr>
          <w:rFonts w:ascii="Times New Roman" w:hAnsi="Times New Roman"/>
          <w:sz w:val="28"/>
          <w:szCs w:val="28"/>
        </w:rPr>
        <w:t>ными 79 % опрошенных, по водоочистке – 76 %, по газоснабжению – 88 %, по электроснабжению – 88 %, по теплоснабжению – 84 %, услуги связи – 87 %.</w:t>
      </w:r>
    </w:p>
    <w:p w:rsidR="00C468EE" w:rsidRDefault="00C468EE" w:rsidP="00D25C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9B3" w:rsidRPr="000379B3" w:rsidRDefault="000379B3" w:rsidP="000379B3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79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2.3.8.Розничная торговля</w:t>
      </w:r>
    </w:p>
    <w:p w:rsidR="000379B3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В настоящее время особое место в организации торгового обслуживания населения занимает розничная торговля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Рынок услуг розничной торговли – это один из динамично развивающи</w:t>
      </w:r>
      <w:r w:rsidRPr="009B31CF">
        <w:rPr>
          <w:rFonts w:ascii="Times New Roman" w:hAnsi="Times New Roman"/>
          <w:sz w:val="28"/>
          <w:szCs w:val="28"/>
        </w:rPr>
        <w:t>х</w:t>
      </w:r>
      <w:r w:rsidRPr="009B31CF">
        <w:rPr>
          <w:rFonts w:ascii="Times New Roman" w:hAnsi="Times New Roman"/>
          <w:sz w:val="28"/>
          <w:szCs w:val="28"/>
        </w:rPr>
        <w:t>ся социально важных направлений экономики Тимашевского района и Красн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дарского края в целом. На территории Тимашевского района имеются разли</w:t>
      </w:r>
      <w:r w:rsidRPr="009B31CF">
        <w:rPr>
          <w:rFonts w:ascii="Times New Roman" w:hAnsi="Times New Roman"/>
          <w:sz w:val="28"/>
          <w:szCs w:val="28"/>
        </w:rPr>
        <w:t>ч</w:t>
      </w:r>
      <w:r w:rsidRPr="009B31CF">
        <w:rPr>
          <w:rFonts w:ascii="Times New Roman" w:hAnsi="Times New Roman"/>
          <w:sz w:val="28"/>
          <w:szCs w:val="28"/>
        </w:rPr>
        <w:t>ные типы предприятий розничной торговли: торговые центры, сетевые магаз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ны, несетевые стационарные магазины, нестационарные торговые объекты, различные виды ярмарок, что обеспечивает широкий ассортимент в розничной торговле.</w:t>
      </w:r>
    </w:p>
    <w:p w:rsidR="000379B3" w:rsidRPr="009B31CF" w:rsidRDefault="000379B3" w:rsidP="00037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ab/>
        <w:t>За 2014 год количество хозяйствующих субъектов, осуществляющих ро</w:t>
      </w:r>
      <w:r w:rsidRPr="009B31CF">
        <w:rPr>
          <w:rFonts w:ascii="Times New Roman" w:hAnsi="Times New Roman"/>
          <w:sz w:val="28"/>
          <w:szCs w:val="28"/>
        </w:rPr>
        <w:t>з</w:t>
      </w:r>
      <w:r w:rsidRPr="009B31CF">
        <w:rPr>
          <w:rFonts w:ascii="Times New Roman" w:hAnsi="Times New Roman"/>
          <w:sz w:val="28"/>
          <w:szCs w:val="28"/>
        </w:rPr>
        <w:t>ничную торговлю на территории муниципального образования Тимашевский район составило 1320 единиц, за 2015 год – 1345 единиц, за 2016 год – 1357 единиц. На территории муниципального образования Тимашевский район наблюдается положительная динамика количества хозяйствующих субъектов, осуществляющих розничную торговлю, прирост за период с 2014 по 2016 годы составил 102,8%.</w:t>
      </w:r>
    </w:p>
    <w:p w:rsidR="000379B3" w:rsidRPr="009B31CF" w:rsidRDefault="000379B3" w:rsidP="00037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9B3" w:rsidRPr="00781E6B" w:rsidRDefault="000379B3" w:rsidP="000379B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781E6B">
        <w:rPr>
          <w:rFonts w:ascii="Times New Roman" w:hAnsi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7D82CFD2" wp14:editId="1E6BAC78">
            <wp:extent cx="6029325" cy="2076450"/>
            <wp:effectExtent l="0" t="0" r="9525" b="1905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379B3" w:rsidRPr="00781E6B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За январь-декабрь 2014 года оборот розничной торговли составил 13316,2 млн. руб. или 113,6% аналогичного периода 2013 года. </w:t>
      </w:r>
    </w:p>
    <w:p w:rsidR="000379B3" w:rsidRPr="00781E6B" w:rsidRDefault="000379B3" w:rsidP="000379B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781E6B">
        <w:rPr>
          <w:rFonts w:ascii="Times New Roman" w:hAnsi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23C430C4" wp14:editId="388F9962">
            <wp:extent cx="6115050" cy="2066925"/>
            <wp:effectExtent l="0" t="0" r="1905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379B3" w:rsidRPr="00781E6B" w:rsidRDefault="000379B3" w:rsidP="000379B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За январь-декабрь 2015 года оборот розничной торговли составил 14197,5 млн. руб. или 106,6% аналогичного периода 2014 года.</w:t>
      </w:r>
    </w:p>
    <w:p w:rsidR="000379B3" w:rsidRPr="009B31CF" w:rsidRDefault="000379B3" w:rsidP="009B3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За январь-декабрь 2016 года оборот розничной торговли составил 15236,9 млн. руб. или 107,3% </w:t>
      </w:r>
      <w:r w:rsidR="009B31CF" w:rsidRPr="009B31CF">
        <w:rPr>
          <w:rFonts w:ascii="Times New Roman" w:hAnsi="Times New Roman"/>
          <w:sz w:val="28"/>
          <w:szCs w:val="28"/>
        </w:rPr>
        <w:t>аналогичного периода 2015 года.</w:t>
      </w:r>
    </w:p>
    <w:p w:rsidR="000379B3" w:rsidRPr="009B31CF" w:rsidRDefault="000379B3" w:rsidP="00037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оборота организаций, основным видом деятельности которых явл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розничная торговля в общем объеме оборота </w:t>
      </w:r>
      <w:proofErr w:type="gram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хозяйствующих субъектов, осуществляющих деятельность на территории муниципального образования Тимашевский район за  2014 год составила</w:t>
      </w:r>
      <w:proofErr w:type="gram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23%; за 2015 год – 18,2%, за 2016 год – 19,6%.</w:t>
      </w:r>
    </w:p>
    <w:p w:rsidR="000379B3" w:rsidRPr="009B31CF" w:rsidRDefault="000379B3" w:rsidP="000379B3">
      <w:pPr>
        <w:spacing w:line="259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379B3" w:rsidRPr="00C434B4" w:rsidRDefault="000379B3" w:rsidP="00C434B4">
      <w:pPr>
        <w:spacing w:line="259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highlight w:val="green"/>
          <w:lang w:eastAsia="ru-RU"/>
        </w:rPr>
      </w:pPr>
      <w:r w:rsidRPr="00781E6B">
        <w:rPr>
          <w:rFonts w:ascii="Times New Roman" w:eastAsia="Times New Roman" w:hAnsi="Times New Roman"/>
          <w:noProof/>
          <w:color w:val="000000"/>
          <w:sz w:val="32"/>
          <w:szCs w:val="32"/>
          <w:highlight w:val="green"/>
          <w:lang w:eastAsia="ru-RU"/>
        </w:rPr>
        <w:drawing>
          <wp:inline distT="0" distB="0" distL="0" distR="0" wp14:anchorId="4CF4DCB2" wp14:editId="68C37F17">
            <wp:extent cx="5114925" cy="2076450"/>
            <wp:effectExtent l="0" t="0" r="9525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Особенностью развития розничной торговли на территории муниципал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образования Тимашевский район является то, что открываются новые м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газины как на территории города Тимашевска, так и в сельских поселениях. Следует отметить, что для удобства жителей сельских поселений открываются не только продуктовые магазины, но и магазины канцелярских товаров, маг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зины автозапчастей, вещевые магазины и т.д. Сетевые магазины имеются в Медведовском сельском поселении, Роговском сельском поселении, Новоко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сунском сельском поселении, что благоприятно влияет на формирование сре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 цен и значительно расширяет ассортимент продукции, является сдержив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ющим фактором резкого роста цен на социально значимые продукты питания.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обеспеченность торговыми площадями на 1 тысячу жителей по Тимашевскому району составляет 808 кв.м., при нормативе для Тимашевского района 466,8 кв.м., в том числе: обеспеченность торговой площадью непрод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вольственными товарами - 497 кв.м. на 1 тысячу жителей, при нормативе 283,7 кв.м.; обеспеченность торговой площадью непродовольственными товарами – 311 кв.м. на 1 тысячу жителей, при нормативе 124,6 кв.м.</w:t>
      </w:r>
    </w:p>
    <w:p w:rsidR="00A818E5" w:rsidRPr="009B31CF" w:rsidRDefault="00A818E5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31CF" w:rsidRPr="009B31CF" w:rsidRDefault="00A818E5" w:rsidP="00A818E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Обеспеченность торговыми площадями на 1 тысячу жителей </w:t>
      </w:r>
      <w:proofErr w:type="gramStart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818E5" w:rsidRPr="009B31CF" w:rsidRDefault="00A818E5" w:rsidP="00A818E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Тимашевскому</w:t>
      </w:r>
      <w:proofErr w:type="spellEnd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району, </w:t>
      </w:r>
      <w:proofErr w:type="spellStart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18E5" w:rsidRPr="00781E6B" w:rsidRDefault="00A818E5" w:rsidP="00A818E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  <w:highlight w:val="green"/>
          <w:lang w:eastAsia="ru-RU"/>
        </w:rPr>
      </w:pPr>
    </w:p>
    <w:p w:rsidR="000379B3" w:rsidRPr="00781E6B" w:rsidRDefault="000379B3" w:rsidP="000379B3">
      <w:pPr>
        <w:keepNext/>
        <w:spacing w:after="0" w:line="240" w:lineRule="auto"/>
        <w:jc w:val="both"/>
        <w:rPr>
          <w:highlight w:val="green"/>
        </w:rPr>
      </w:pPr>
      <w:r w:rsidRPr="00781E6B">
        <w:rPr>
          <w:rFonts w:ascii="Times New Roman" w:eastAsia="Times New Roman" w:hAnsi="Times New Roman"/>
          <w:noProof/>
          <w:color w:val="000000"/>
          <w:sz w:val="28"/>
          <w:szCs w:val="28"/>
          <w:highlight w:val="green"/>
          <w:lang w:eastAsia="ru-RU"/>
        </w:rPr>
        <w:drawing>
          <wp:inline distT="0" distB="0" distL="0" distR="0" wp14:anchorId="53CFA670" wp14:editId="6030E98E">
            <wp:extent cx="6096000" cy="32004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0379B3" w:rsidRPr="00781E6B" w:rsidRDefault="000379B3" w:rsidP="000379B3">
      <w:pPr>
        <w:keepNext/>
        <w:spacing w:after="0" w:line="240" w:lineRule="auto"/>
        <w:jc w:val="both"/>
        <w:rPr>
          <w:highlight w:val="green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предоставления услуг розничной торговли на сегодняшний день занято более 3 тысяч человек.</w:t>
      </w:r>
    </w:p>
    <w:p w:rsidR="000379B3" w:rsidRPr="009B31CF" w:rsidRDefault="001D2BE7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2016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территории муниципального образования Тимашевский район были организованы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пять сезонных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придорожные сельскохозяйственные ярмарки: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1 - 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Дербентском сельском поселении, 3 - 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Медвёдовском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поселении, 1 – в Поселковом сельском поселении. 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данных ярмарках вл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дельцы ЛПХ, КФХ, ИП реализовывали излишки овощей, фруктов, картофеля.</w:t>
      </w:r>
    </w:p>
    <w:p w:rsidR="00A818E5" w:rsidRPr="009B31CF" w:rsidRDefault="00A818E5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для удешевления продукции на территории Тимашевского района по адресу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г.Тимашевск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ул.Красная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ул.Братской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ул.Интернациональной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организована универсальная розничная периодичная ярмарка выходного дня, на которой все желающие владельцы ЛПХ, КФХ, ИП могут продавать проду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цию, а у жителей имеется возможность приобрести качественные кубанские т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вары по ценам ниже средних по району на 4-11% (данные результатов ежен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дельных мониторингов). В среднем, за один день на ярмарке выходного дня р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</w:t>
      </w:r>
      <w:r w:rsidR="001D2BE7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овывалось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BE7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 тонн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сельскохозяйственной продукции.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упорядочения нестационарной торговли и предупреждения несан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ционированной торговли разработаны и утверждены схемы размещения нест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ционарных торговых объектов для осуществления мелкой розничной торговли – всего по Тимашевскому району 50 нестационарных торговых объектов, из них 32 – на территории Тимашевского городского поселения, 2 – на территории Новокорсунского сельского поселения, 3 – на территории Поселкового сельск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поселения, 2 – на территории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Медвёдовского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11 – на территории Днепровского сельского поселения.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Специалистами администрации муниципального образования Тимаше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район на постоянной основе проводится консультирование граждан по 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просу защиты прав потребителей, а также консультирование субъектов хозя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ственной деятельности (предпринимателей) по вопросу защиты их прав в пр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цессе осуществления ими торговой деятельности. Так в 2014 году было пров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дено 232 консультации, в 2015 году -333 консультации, в 2016 году – 351 ко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сультация.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9B3" w:rsidRPr="00781E6B" w:rsidRDefault="000379B3" w:rsidP="000379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  <w:r w:rsidRPr="00781E6B">
        <w:rPr>
          <w:rFonts w:ascii="Times New Roman" w:eastAsia="Times New Roman" w:hAnsi="Times New Roman"/>
          <w:noProof/>
          <w:color w:val="000000"/>
          <w:sz w:val="28"/>
          <w:szCs w:val="28"/>
          <w:highlight w:val="green"/>
          <w:lang w:eastAsia="ru-RU"/>
        </w:rPr>
        <w:drawing>
          <wp:inline distT="0" distB="0" distL="0" distR="0" wp14:anchorId="4F7CE8BE" wp14:editId="05F99A0B">
            <wp:extent cx="6067425" cy="2305050"/>
            <wp:effectExtent l="0" t="0" r="9525" b="1905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379B3" w:rsidRPr="00781E6B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Тимашевский район тесно взаимодействует с представителями бизнеса, организует обучающие семинары, дни открытых дверей, совещания, круглые столы по вопросам изменения в з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конодательстве, касающемся торговой деятельности.</w:t>
      </w:r>
    </w:p>
    <w:p w:rsidR="000379B3" w:rsidRPr="009B31CF" w:rsidRDefault="000379B3" w:rsidP="000379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>В феврале 2016 года совместно со специалистами департамента потреб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тельской сферы и регулирования рынка алкоголя Краснодарского края был проведен семинар по теме «Изменения законодательства в сфере реализации алкогольной продукции и оказания услуг общественного питания, розничной торговли».</w:t>
      </w:r>
    </w:p>
    <w:p w:rsidR="000379B3" w:rsidRPr="009B31CF" w:rsidRDefault="000379B3" w:rsidP="001D2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На семинаре был</w:t>
      </w:r>
      <w:r w:rsidR="001D2BE7" w:rsidRPr="009B31CF">
        <w:rPr>
          <w:rFonts w:ascii="Times New Roman" w:eastAsia="Times New Roman" w:hAnsi="Times New Roman"/>
          <w:sz w:val="28"/>
          <w:szCs w:val="28"/>
          <w:lang w:eastAsia="ru-RU"/>
        </w:rPr>
        <w:t>и рассмотрены следующие вопросы подключения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к ед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ной государственной автоматизированной системе (ЕГАИС) участников алк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гольного рынка и возникающие в связи с этим вопросы. В данном семинаре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приняли участие 68 руководителей и представителей объектов розничной то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говли и общественного питания.</w:t>
      </w:r>
    </w:p>
    <w:p w:rsidR="000379B3" w:rsidRPr="009B31CF" w:rsidRDefault="000379B3" w:rsidP="001D2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В ноябре 2016 года был проведен  обучающий семинара для 25 субъектов  малого и среднего предпринимательства в сфере торговой деятельности по т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ме: «Нормативно-правовые и практические аспекты деятельности торговых предприятий» (основные требования к организации и осуществлению торговой деятельности, санитарно-эпидемиологические нормы при осу-</w:t>
      </w:r>
      <w:proofErr w:type="spellStart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ществлении</w:t>
      </w:r>
      <w:proofErr w:type="spellEnd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то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говой деятельности, изменения по применению ККТ с 2017 года, права и об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занности руководителя торгового объекта при проведении контрольных мер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приятий контрольными и надзорными органами, оформление трудовых отн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шений в сфере торговли). По итогам семинара участникам были вручены име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ные сертификаты.</w:t>
      </w:r>
    </w:p>
    <w:p w:rsidR="000379B3" w:rsidRPr="009B31CF" w:rsidRDefault="00332564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пециалистами администраций поселений Тимашевского района и сп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циалистами администрации муниципального образования Тимашевский район проводятся еженедельные мониторинги цен на социально значимые продукты питания в поселениях, с последующей обработкой для получения средних цен на социально значимые продукты питания по Тимашевскому району. Инфо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мация еженедельно размещается на официальном сайте муниципального обр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зования Тимашевский район в разделе «Экономика района», а также направл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0379B3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в прокуратуру Тимашевского района.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меры благоприятно влияют на формирование цен, ассортимент реализуемых товаров – на территории муниципального образования Тимаше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район представлен полный ассортимент всевозможных товаров и не пр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исходит резкого роста цен.</w:t>
      </w:r>
    </w:p>
    <w:p w:rsidR="000379B3" w:rsidRPr="009B31CF" w:rsidRDefault="000379B3" w:rsidP="000379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проведённого в ноябре 2016 года мониторинга оценки </w:t>
      </w:r>
      <w:r w:rsidRPr="009B31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</w:t>
      </w:r>
      <w:r w:rsidRPr="009B31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r w:rsidRPr="009B31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стояния и развития конкурентной среды в муниципальном образовании Тим</w:t>
      </w:r>
      <w:r w:rsidRPr="009B31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</w:t>
      </w:r>
      <w:r w:rsidRPr="009B31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шевский район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котором приняло участие 716 человек, на вопрос «Насколько Вы удовлетворены рынком услуг розничной торговли?» были получены след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ющие ответы:</w:t>
      </w:r>
    </w:p>
    <w:p w:rsidR="000379B3" w:rsidRPr="009B31CF" w:rsidRDefault="000379B3" w:rsidP="000379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(1,4%) респондентов – не удовлетворены;</w:t>
      </w:r>
    </w:p>
    <w:p w:rsidR="000379B3" w:rsidRPr="009B31CF" w:rsidRDefault="000379B3" w:rsidP="000379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 (2,8%) респондентов – скорее </w:t>
      </w:r>
      <w:proofErr w:type="spell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неудовлетворены</w:t>
      </w:r>
      <w:proofErr w:type="spell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379B3" w:rsidRPr="009B31CF" w:rsidRDefault="000379B3" w:rsidP="000379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 (19%) респондентов – скорее удовлетворены;</w:t>
      </w:r>
    </w:p>
    <w:p w:rsidR="000379B3" w:rsidRPr="009B31CF" w:rsidRDefault="000379B3" w:rsidP="000379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550 (76,8%) респондентов – удовлетворены;</w:t>
      </w:r>
    </w:p>
    <w:p w:rsidR="004629DA" w:rsidRPr="009B31CF" w:rsidRDefault="004629DA" w:rsidP="004629D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9B3" w:rsidRPr="00781E6B" w:rsidRDefault="000379B3" w:rsidP="000379B3">
      <w:pPr>
        <w:spacing w:after="0" w:line="240" w:lineRule="auto"/>
        <w:ind w:left="1428" w:hanging="128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  <w:r w:rsidRPr="00781E6B">
        <w:rPr>
          <w:rFonts w:ascii="Times New Roman" w:eastAsia="Times New Roman" w:hAnsi="Times New Roman"/>
          <w:noProof/>
          <w:color w:val="000000"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53974361" wp14:editId="6D00C098">
            <wp:extent cx="6067425" cy="2886075"/>
            <wp:effectExtent l="0" t="0" r="9525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379B3" w:rsidRPr="00781E6B" w:rsidRDefault="000379B3" w:rsidP="000379B3">
      <w:pPr>
        <w:spacing w:after="0" w:line="240" w:lineRule="auto"/>
        <w:ind w:left="1428" w:hanging="128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0379B3" w:rsidRPr="009B31CF" w:rsidRDefault="000379B3" w:rsidP="000379B3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 «Какое количество организаций предоставляют услуги ро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ничной торговли?» ответы распределились следующим образом:</w:t>
      </w:r>
    </w:p>
    <w:p w:rsidR="000379B3" w:rsidRPr="009B31CF" w:rsidRDefault="000379B3" w:rsidP="000379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361(50,4%) опрошенных считают достаточно;</w:t>
      </w:r>
    </w:p>
    <w:p w:rsidR="000379B3" w:rsidRPr="009B31CF" w:rsidRDefault="000379B3" w:rsidP="000379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318 (44,4%) опрошенных – избыточно;</w:t>
      </w:r>
    </w:p>
    <w:p w:rsidR="000379B3" w:rsidRPr="009B31CF" w:rsidRDefault="000379B3" w:rsidP="000379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(4,7%) опрошенных – мало;</w:t>
      </w:r>
    </w:p>
    <w:p w:rsidR="00332564" w:rsidRPr="009B31CF" w:rsidRDefault="000379B3" w:rsidP="004629D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(0,4%) опрошенных – не</w:t>
      </w:r>
      <w:r w:rsidR="004629DA"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совсем</w:t>
      </w:r>
    </w:p>
    <w:p w:rsidR="000379B3" w:rsidRPr="00781E6B" w:rsidRDefault="000379B3" w:rsidP="000379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  <w:r w:rsidRPr="00781E6B">
        <w:rPr>
          <w:rFonts w:ascii="Times New Roman" w:eastAsia="Times New Roman" w:hAnsi="Times New Roman"/>
          <w:noProof/>
          <w:color w:val="000000"/>
          <w:sz w:val="28"/>
          <w:szCs w:val="28"/>
          <w:highlight w:val="green"/>
          <w:lang w:eastAsia="ru-RU"/>
        </w:rPr>
        <w:drawing>
          <wp:inline distT="0" distB="0" distL="0" distR="0" wp14:anchorId="50E977AF" wp14:editId="27A16724">
            <wp:extent cx="6057900" cy="3200400"/>
            <wp:effectExtent l="0" t="0" r="19050" b="1905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32564" w:rsidRPr="00781E6B" w:rsidRDefault="00332564" w:rsidP="000379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9508E8" w:rsidRPr="009B31CF" w:rsidRDefault="000379B3" w:rsidP="007F3E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Из этого следует, большая </w:t>
      </w:r>
      <w:proofErr w:type="gramStart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жителей Тимашевского района удовл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творена состоянием рынка розничной торговли и считает достаточным</w:t>
      </w:r>
      <w:proofErr w:type="gramEnd"/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 объектов розничной торговли на территории муниципального образования Тимашевский район.</w:t>
      </w:r>
    </w:p>
    <w:p w:rsidR="009B31CF" w:rsidRPr="009B31CF" w:rsidRDefault="009B31CF" w:rsidP="009508E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31CF" w:rsidRDefault="009B31CF" w:rsidP="009508E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9B31CF" w:rsidRDefault="009B31CF" w:rsidP="009508E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9B31CF" w:rsidRDefault="009B31CF" w:rsidP="009508E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9B31CF" w:rsidRDefault="009B31CF" w:rsidP="009508E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lang w:eastAsia="ru-RU"/>
        </w:rPr>
      </w:pPr>
    </w:p>
    <w:p w:rsidR="009508E8" w:rsidRPr="009B31CF" w:rsidRDefault="00781E6B" w:rsidP="009508E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2.3.9.</w:t>
      </w:r>
      <w:r w:rsidRPr="009B31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08E8" w:rsidRPr="009B31CF">
        <w:rPr>
          <w:rFonts w:ascii="Times New Roman" w:eastAsia="Calibri" w:hAnsi="Times New Roman" w:cs="Times New Roman"/>
          <w:b/>
          <w:sz w:val="28"/>
          <w:szCs w:val="28"/>
        </w:rPr>
        <w:t>Рынок услуг перевозок пассажиров наземным транспортом.</w:t>
      </w:r>
    </w:p>
    <w:p w:rsidR="009508E8" w:rsidRPr="009B31CF" w:rsidRDefault="009508E8" w:rsidP="00950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Транспортный комплекс Тимашевского района включает в себя автом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бильный, железнодорожный транспорт и организации, оказывающие диспе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черские услуги по пассажирским перевозкам.</w:t>
      </w: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Автомобильный транспорт представлен малыми предприятиями и индив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и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дуальными предпринимателями, которые осуществляют грузовые и пассажи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ские перевозки. Кроме того, грузовые перевозки осуществляет ведомственный транспорт организаций хозяйственного комплекса района. </w:t>
      </w: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 муниципальном образовании Тимашевский район действует 15 маршр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у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тов транспорта общего пользования, в том числе 7 городских маршрутов и 8 пригородного сообщения, общей протяженностью 622 км (в том числе в Тим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шевском городском поселении – 149 км), расположен 1 автовокзал, с которого происходят отправления автобусов междугороднего и пригородного значения.</w:t>
      </w: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Перевозку пассажиров осуществляет 54 единиц транспортного парка,           которые принадлежат трем индивидуальным предпринимателям, в том числе:           ИП Кравцов - 6 единиц, ИП </w:t>
      </w:r>
      <w:proofErr w:type="spellStart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Коноба</w:t>
      </w:r>
      <w:proofErr w:type="spellEnd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- 47 единиц, ИП </w:t>
      </w:r>
      <w:proofErr w:type="spellStart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Чижмак</w:t>
      </w:r>
      <w:proofErr w:type="spellEnd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Александр Дми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риевич – 1 единица. В настоящее время весь транспорт, задействованный на пассажирских перевозках, оборудован системой спутниковой навигации ГЛ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НАСС и ГЛОНАСС/GPS.</w:t>
      </w:r>
    </w:p>
    <w:p w:rsidR="009508E8" w:rsidRPr="009B31CF" w:rsidRDefault="009508E8" w:rsidP="00D35A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За отчетный период перевезено 3 808 тыс. человек. Пассажирооборот а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</w:t>
      </w:r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томобильного транспорта за январь - декабрь составил 37 526 </w:t>
      </w:r>
      <w:proofErr w:type="spellStart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тыс.пасс</w:t>
      </w:r>
      <w:proofErr w:type="spellEnd"/>
      <w:r w:rsidRPr="009B31C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/км.</w:t>
      </w:r>
    </w:p>
    <w:p w:rsidR="009508E8" w:rsidRPr="009B31CF" w:rsidRDefault="009508E8" w:rsidP="00D35A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AFF7CC" wp14:editId="3BC21D0F">
            <wp:extent cx="5705475" cy="2743200"/>
            <wp:effectExtent l="0" t="0" r="9525" b="190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8E8" w:rsidRPr="009B31CF" w:rsidRDefault="009508E8" w:rsidP="00950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Объем услуг транспорта за отчетный период составил 1691 млн. руб., что в 2 раза больше, чем за соответствующий период прошлого года. Рост объема транспортных услуг обусловлен тем, что ООО «ТМХ-Сервис» объем выпо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ненных услуг по Северо-Кавказскому филиалу за 2015 год предоставлял по м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сту нахождения филиала. С 2016 года отчетность предоставляется по месту нахождения головного предприятия (г.Тимашевск).</w:t>
      </w:r>
    </w:p>
    <w:p w:rsidR="009508E8" w:rsidRPr="009508E8" w:rsidRDefault="007F3EC1" w:rsidP="007F3EC1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 w:rsidRPr="009508E8">
        <w:rPr>
          <w:rFonts w:ascii="Times New Roman" w:hAnsi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649D7A0C" wp14:editId="08600251">
            <wp:extent cx="6115050" cy="3333750"/>
            <wp:effectExtent l="0" t="0" r="19050" b="1905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508E8" w:rsidRPr="009B31CF" w:rsidRDefault="009508E8" w:rsidP="0095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На основании анализа анкетирования, проведенного на территории мун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ципального образования Тимашевский район, по развитию конкуренции и уд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влетворенности качеством товаров, работ, услуг получены следующие данные. Опрошено 716 человек.</w:t>
      </w:r>
    </w:p>
    <w:p w:rsidR="009508E8" w:rsidRPr="009508E8" w:rsidRDefault="009508E8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Анализ данных о развитии конкуренции на рынке услуг перевозок пасс</w:t>
      </w:r>
      <w:r w:rsidRPr="009B31CF">
        <w:rPr>
          <w:rFonts w:ascii="Times New Roman" w:hAnsi="Times New Roman"/>
          <w:sz w:val="28"/>
          <w:szCs w:val="28"/>
        </w:rPr>
        <w:t>а</w:t>
      </w:r>
      <w:r w:rsidRPr="009B31CF">
        <w:rPr>
          <w:rFonts w:ascii="Times New Roman" w:hAnsi="Times New Roman"/>
          <w:sz w:val="28"/>
          <w:szCs w:val="28"/>
        </w:rPr>
        <w:t>жиров наземным транспортом показал следующие данные – 77 % всех опр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шенных считают насыщенным рынок услуг перевозок пассажиров наземным транспортом и 81,5 % удовлетворены наличием предприятий по услуге перев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зок в муниципальном образовании.</w:t>
      </w:r>
    </w:p>
    <w:p w:rsidR="009508E8" w:rsidRPr="009508E8" w:rsidRDefault="009508E8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794" w:type="dxa"/>
        <w:tblLook w:val="04A0" w:firstRow="1" w:lastRow="0" w:firstColumn="1" w:lastColumn="0" w:noHBand="0" w:noVBand="1"/>
      </w:tblPr>
      <w:tblGrid>
        <w:gridCol w:w="3350"/>
        <w:gridCol w:w="1436"/>
        <w:gridCol w:w="1985"/>
        <w:gridCol w:w="1275"/>
        <w:gridCol w:w="1748"/>
      </w:tblGrid>
      <w:tr w:rsidR="009508E8" w:rsidRPr="009B31CF" w:rsidTr="00E9656E">
        <w:tc>
          <w:tcPr>
            <w:tcW w:w="3350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Рынок услуг перевозок пассажиров наземным транспортом</w:t>
            </w:r>
          </w:p>
        </w:tc>
        <w:tc>
          <w:tcPr>
            <w:tcW w:w="1436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Много</w:t>
            </w:r>
          </w:p>
        </w:tc>
        <w:tc>
          <w:tcPr>
            <w:tcW w:w="198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 xml:space="preserve">Достаточно </w:t>
            </w:r>
          </w:p>
        </w:tc>
        <w:tc>
          <w:tcPr>
            <w:tcW w:w="127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Мало</w:t>
            </w:r>
          </w:p>
        </w:tc>
        <w:tc>
          <w:tcPr>
            <w:tcW w:w="1748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Нет совсем</w:t>
            </w:r>
          </w:p>
        </w:tc>
      </w:tr>
      <w:tr w:rsidR="009508E8" w:rsidRPr="009B31CF" w:rsidTr="00E9656E">
        <w:tc>
          <w:tcPr>
            <w:tcW w:w="3350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насыщенность</w:t>
            </w:r>
          </w:p>
        </w:tc>
        <w:tc>
          <w:tcPr>
            <w:tcW w:w="1436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164</w:t>
            </w:r>
          </w:p>
        </w:tc>
        <w:tc>
          <w:tcPr>
            <w:tcW w:w="198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393</w:t>
            </w:r>
          </w:p>
        </w:tc>
        <w:tc>
          <w:tcPr>
            <w:tcW w:w="127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143</w:t>
            </w:r>
          </w:p>
        </w:tc>
        <w:tc>
          <w:tcPr>
            <w:tcW w:w="1748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16</w:t>
            </w:r>
          </w:p>
        </w:tc>
      </w:tr>
    </w:tbl>
    <w:p w:rsidR="009508E8" w:rsidRPr="009B31CF" w:rsidRDefault="009508E8" w:rsidP="00950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8E8" w:rsidRPr="009B31CF" w:rsidRDefault="009508E8" w:rsidP="00950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1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C9BC27" wp14:editId="6F441648">
            <wp:extent cx="5934075" cy="2038350"/>
            <wp:effectExtent l="0" t="0" r="9525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508E8" w:rsidRDefault="009508E8" w:rsidP="0095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1CF" w:rsidRDefault="009B31CF" w:rsidP="0095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1CF" w:rsidRDefault="009B31CF" w:rsidP="0095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1CF" w:rsidRDefault="009B31CF" w:rsidP="0095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1CF" w:rsidRPr="009B31CF" w:rsidRDefault="009B31CF" w:rsidP="0095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2595"/>
        <w:gridCol w:w="1902"/>
        <w:gridCol w:w="1844"/>
        <w:gridCol w:w="1844"/>
        <w:gridCol w:w="1562"/>
      </w:tblGrid>
      <w:tr w:rsidR="009508E8" w:rsidRPr="009B31CF" w:rsidTr="00E9656E">
        <w:tc>
          <w:tcPr>
            <w:tcW w:w="259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lastRenderedPageBreak/>
              <w:t>Рынок услуг пер</w:t>
            </w:r>
            <w:r w:rsidRPr="009B31CF">
              <w:rPr>
                <w:rFonts w:ascii="Times New Roman" w:hAnsi="Times New Roman"/>
              </w:rPr>
              <w:t>е</w:t>
            </w:r>
            <w:r w:rsidRPr="009B31CF">
              <w:rPr>
                <w:rFonts w:ascii="Times New Roman" w:hAnsi="Times New Roman"/>
              </w:rPr>
              <w:t>возок пассажиров наземным тран</w:t>
            </w:r>
            <w:r w:rsidRPr="009B31CF">
              <w:rPr>
                <w:rFonts w:ascii="Times New Roman" w:hAnsi="Times New Roman"/>
              </w:rPr>
              <w:t>с</w:t>
            </w:r>
            <w:r w:rsidRPr="009B31CF">
              <w:rPr>
                <w:rFonts w:ascii="Times New Roman" w:hAnsi="Times New Roman"/>
              </w:rPr>
              <w:t>портом</w:t>
            </w:r>
          </w:p>
        </w:tc>
        <w:tc>
          <w:tcPr>
            <w:tcW w:w="190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Удовлетворен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Скорее уд</w:t>
            </w:r>
            <w:r w:rsidRPr="009B31CF">
              <w:rPr>
                <w:rFonts w:ascii="Times New Roman" w:hAnsi="Times New Roman"/>
              </w:rPr>
              <w:t>о</w:t>
            </w:r>
            <w:r w:rsidRPr="009B31CF">
              <w:rPr>
                <w:rFonts w:ascii="Times New Roman" w:hAnsi="Times New Roman"/>
              </w:rPr>
              <w:t>влетворен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Скорее не удовлетворен</w:t>
            </w:r>
          </w:p>
        </w:tc>
        <w:tc>
          <w:tcPr>
            <w:tcW w:w="156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Не удовл</w:t>
            </w:r>
            <w:r w:rsidRPr="009B31CF">
              <w:rPr>
                <w:rFonts w:ascii="Times New Roman" w:hAnsi="Times New Roman"/>
              </w:rPr>
              <w:t>е</w:t>
            </w:r>
            <w:r w:rsidRPr="009B31CF">
              <w:rPr>
                <w:rFonts w:ascii="Times New Roman" w:hAnsi="Times New Roman"/>
              </w:rPr>
              <w:t>творен</w:t>
            </w:r>
          </w:p>
        </w:tc>
      </w:tr>
      <w:tr w:rsidR="009508E8" w:rsidRPr="009508E8" w:rsidTr="00E9656E">
        <w:tc>
          <w:tcPr>
            <w:tcW w:w="2595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удовлетворенность</w:t>
            </w:r>
          </w:p>
        </w:tc>
        <w:tc>
          <w:tcPr>
            <w:tcW w:w="190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437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147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80</w:t>
            </w:r>
          </w:p>
        </w:tc>
        <w:tc>
          <w:tcPr>
            <w:tcW w:w="1562" w:type="dxa"/>
            <w:vAlign w:val="center"/>
          </w:tcPr>
          <w:p w:rsidR="009508E8" w:rsidRPr="009508E8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52</w:t>
            </w:r>
          </w:p>
        </w:tc>
      </w:tr>
    </w:tbl>
    <w:p w:rsidR="00602EC3" w:rsidRDefault="00602EC3" w:rsidP="007F3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E8" w:rsidRPr="009508E8" w:rsidRDefault="007F3EC1" w:rsidP="007F3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620AD9" wp14:editId="4946F3EF">
            <wp:extent cx="6019800" cy="2305050"/>
            <wp:effectExtent l="0" t="0" r="19050" b="1905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02EC3" w:rsidRDefault="00602EC3" w:rsidP="00950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9508E8" w:rsidRPr="009B31CF" w:rsidRDefault="009508E8" w:rsidP="00950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1CF">
        <w:rPr>
          <w:rFonts w:ascii="Times New Roman" w:hAnsi="Times New Roman"/>
          <w:b/>
          <w:sz w:val="28"/>
          <w:szCs w:val="28"/>
        </w:rPr>
        <w:t>2.3.10. Рынок услуг связи</w:t>
      </w:r>
    </w:p>
    <w:p w:rsidR="009508E8" w:rsidRPr="009B31CF" w:rsidRDefault="009508E8" w:rsidP="00950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E8" w:rsidRPr="009B31CF" w:rsidRDefault="009508E8" w:rsidP="009508E8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К услугам связи относится филиал «Тимашевский почтамт ФГУП Почта России», ПАО «Ростелеком» МРУС.</w:t>
      </w:r>
    </w:p>
    <w:p w:rsidR="009508E8" w:rsidRPr="009B31CF" w:rsidRDefault="009508E8" w:rsidP="009508E8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Объем услуг связи за отчетный период составил 144 млн. руб., что на 2 % меньше, чем за соответствующий период прошлого года. Снижение показат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лей идет по ПАО «Ростелеком» по таким видам услуг, как услуги местной и междугородней телефонной связи из-за перехода абонентов на услуги сотовой сети, а также, из-за насыщения рынка услугами по подключению к информац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онной базе Интернет по технологии GPON (оптоволокно), услуг «Интеракти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ное ТВ» (телевидение).</w:t>
      </w:r>
    </w:p>
    <w:p w:rsidR="009508E8" w:rsidRPr="009B31CF" w:rsidRDefault="009508E8" w:rsidP="009508E8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8E8" w:rsidRPr="009508E8" w:rsidRDefault="009508E8" w:rsidP="00D35A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887741" wp14:editId="0453E869">
            <wp:extent cx="6200775" cy="2743200"/>
            <wp:effectExtent l="0" t="0" r="9525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508E8" w:rsidRPr="009508E8" w:rsidRDefault="009508E8" w:rsidP="009508E8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8E8" w:rsidRPr="009B31CF" w:rsidRDefault="009508E8" w:rsidP="00950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Производственную деятельность в области связи в Тимашевском районе осуществляют Тимашевский почтамт ФГУП «Почта России»,                                           ООО «Объединенная Сетевая Компания» и Тимашевский узел электросвязи, являющийся структурным подразделением Краснодарского филиала                           ПАО «Ростелеком».</w:t>
      </w:r>
    </w:p>
    <w:p w:rsidR="009508E8" w:rsidRPr="009B31CF" w:rsidRDefault="009508E8" w:rsidP="009508E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Тимашевский узел электросвязи обслуживает 28038 абонентов (16265 абонентов в Тимашевске, 11773 абонентов в сельских поселениях). Предпри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тием установлены и обслуживаются 47 таксофонов. 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На данный момент состо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ние данной отрасли стабильно, хотя темпы роста телефонизации несколько снизились в связи с появлением и динамичным развитием сотовой связи.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в районе получила сотовая связь. Была введена в эксплуатацию сеть нового поколения 4</w:t>
      </w:r>
      <w:r w:rsidRPr="009B31CF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, благодаря чему абоненты получили возможность пользоваться услугами такими как «</w:t>
      </w:r>
      <w:proofErr w:type="spellStart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Видеозвонок</w:t>
      </w:r>
      <w:proofErr w:type="spellEnd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» и высокоск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ростная передача данных. 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ООО «Объединенная Сетевая Компания» – это лицензированный опер</w:t>
      </w:r>
      <w:r w:rsidRPr="009B31CF">
        <w:rPr>
          <w:rFonts w:ascii="Times New Roman" w:hAnsi="Times New Roman"/>
          <w:sz w:val="28"/>
          <w:szCs w:val="28"/>
        </w:rPr>
        <w:t>а</w:t>
      </w:r>
      <w:r w:rsidRPr="009B31CF">
        <w:rPr>
          <w:rFonts w:ascii="Times New Roman" w:hAnsi="Times New Roman"/>
          <w:sz w:val="28"/>
          <w:szCs w:val="28"/>
        </w:rPr>
        <w:t>тор связи, имеющий все необходимые частотные, технические и эксплуатац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 xml:space="preserve">онные разрешения. Используя ресурсы своей собственной сети, а также сетей партнеров, предоставляет </w:t>
      </w:r>
      <w:proofErr w:type="spellStart"/>
      <w:r w:rsidRPr="009B31CF">
        <w:rPr>
          <w:rFonts w:ascii="Times New Roman" w:hAnsi="Times New Roman"/>
          <w:sz w:val="28"/>
          <w:szCs w:val="28"/>
        </w:rPr>
        <w:t>мультисервисные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услуги связи по передаче данных на территории Российской Федерации.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Тимашевский филиал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ФГУП «Почта России» 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бслуживает население района численностью 110 тысяч человек, проживающих в 39568 дворах и ква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тирах. Почтальонами Тимашевского почтамта обслуживается 155 доставочных участка. 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Через почтовые отделения осуществляется доставка пенсий и пособий, подписных печатных изданий. В отделениях почтовой связи можно оплатить коммунальные услуги, получить и погасить банковский кредит, обналичить д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нежные средства с пластиковых карт, оформить страховку, приобрести лот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рейные, а также железнодорожные, авиа- и театральные билеты. 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Почтовые услуги постоянно востребованы: письма, бандероли, посылки, денежные пер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воды, а в перспективе объем оказываемых услуг будет только увеличиваться.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31CF">
        <w:rPr>
          <w:rFonts w:ascii="Times New Roman" w:eastAsia="Arial Unicode MS" w:hAnsi="Times New Roman"/>
          <w:sz w:val="28"/>
          <w:szCs w:val="28"/>
          <w:lang w:eastAsia="ru-RU"/>
        </w:rPr>
        <w:t>Между тем, отрасль почтовых услуг нуждается в глубокой модернизации: в формировании системы логистики, привлечении инвестиций, обновлении оборудования и транспорта.</w:t>
      </w:r>
    </w:p>
    <w:p w:rsidR="009508E8" w:rsidRPr="009B31CF" w:rsidRDefault="009508E8" w:rsidP="0095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На основании анализа анкетирования, проведенного на территории мун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ципального образования Тимашевский район, по развитию конкуренции и уд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влетворенности качеством товаров, работ, услуг получены следующие данные. Опрошено 716 человек.</w:t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Анализ данных о развитии конкуренции на рынке услуг связи показал следующие данные – 83 % всех опрошенных считают насыщенным рынок услуг связи и 87,4 % удовлетворены наличием предприятий по услуге связи в муниципальном образовании.</w:t>
      </w:r>
    </w:p>
    <w:p w:rsidR="009508E8" w:rsidRDefault="009508E8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B31CF" w:rsidRDefault="009B31CF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B31CF" w:rsidRDefault="009B31CF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B31CF" w:rsidRDefault="009B31CF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B31CF" w:rsidRPr="009508E8" w:rsidRDefault="009B31CF" w:rsidP="0095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2644"/>
        <w:gridCol w:w="1859"/>
        <w:gridCol w:w="1842"/>
        <w:gridCol w:w="1843"/>
        <w:gridCol w:w="1559"/>
      </w:tblGrid>
      <w:tr w:rsidR="009508E8" w:rsidRPr="009B31CF" w:rsidTr="00E9656E">
        <w:tc>
          <w:tcPr>
            <w:tcW w:w="26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lastRenderedPageBreak/>
              <w:t>Рынок услуг связи</w:t>
            </w:r>
          </w:p>
        </w:tc>
        <w:tc>
          <w:tcPr>
            <w:tcW w:w="1859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Много</w:t>
            </w:r>
          </w:p>
        </w:tc>
        <w:tc>
          <w:tcPr>
            <w:tcW w:w="184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 xml:space="preserve">Достаточно </w:t>
            </w:r>
          </w:p>
        </w:tc>
        <w:tc>
          <w:tcPr>
            <w:tcW w:w="1843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Мало</w:t>
            </w:r>
          </w:p>
        </w:tc>
        <w:tc>
          <w:tcPr>
            <w:tcW w:w="1559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Нет совсем</w:t>
            </w:r>
          </w:p>
        </w:tc>
      </w:tr>
      <w:tr w:rsidR="009508E8" w:rsidRPr="009B31CF" w:rsidTr="00E9656E">
        <w:tc>
          <w:tcPr>
            <w:tcW w:w="26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насыщенность</w:t>
            </w:r>
          </w:p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146</w:t>
            </w:r>
          </w:p>
        </w:tc>
        <w:tc>
          <w:tcPr>
            <w:tcW w:w="184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449</w:t>
            </w:r>
          </w:p>
        </w:tc>
        <w:tc>
          <w:tcPr>
            <w:tcW w:w="1843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104</w:t>
            </w:r>
          </w:p>
        </w:tc>
        <w:tc>
          <w:tcPr>
            <w:tcW w:w="1559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17</w:t>
            </w:r>
          </w:p>
        </w:tc>
      </w:tr>
    </w:tbl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508E8" w:rsidRPr="009B31CF" w:rsidRDefault="009508E8" w:rsidP="00D35A3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125FBE" wp14:editId="20EF9F04">
            <wp:extent cx="5991225" cy="2667000"/>
            <wp:effectExtent l="0" t="0" r="9525" b="1905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508E8" w:rsidRPr="009B31CF" w:rsidRDefault="009508E8" w:rsidP="009508E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837"/>
        <w:gridCol w:w="1844"/>
        <w:gridCol w:w="1844"/>
        <w:gridCol w:w="1562"/>
      </w:tblGrid>
      <w:tr w:rsidR="009508E8" w:rsidRPr="009B31CF" w:rsidTr="00E9656E">
        <w:tc>
          <w:tcPr>
            <w:tcW w:w="2660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Рынок услуг связи</w:t>
            </w:r>
          </w:p>
        </w:tc>
        <w:tc>
          <w:tcPr>
            <w:tcW w:w="1837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Удовлетв</w:t>
            </w:r>
            <w:r w:rsidRPr="009B31CF">
              <w:rPr>
                <w:rFonts w:ascii="Times New Roman" w:hAnsi="Times New Roman"/>
              </w:rPr>
              <w:t>о</w:t>
            </w:r>
            <w:r w:rsidRPr="009B31CF">
              <w:rPr>
                <w:rFonts w:ascii="Times New Roman" w:hAnsi="Times New Roman"/>
              </w:rPr>
              <w:t>рен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Скорее уд</w:t>
            </w:r>
            <w:r w:rsidRPr="009B31CF">
              <w:rPr>
                <w:rFonts w:ascii="Times New Roman" w:hAnsi="Times New Roman"/>
              </w:rPr>
              <w:t>о</w:t>
            </w:r>
            <w:r w:rsidRPr="009B31CF">
              <w:rPr>
                <w:rFonts w:ascii="Times New Roman" w:hAnsi="Times New Roman"/>
              </w:rPr>
              <w:t>влетворен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Скорее не удовлетворен</w:t>
            </w:r>
          </w:p>
        </w:tc>
        <w:tc>
          <w:tcPr>
            <w:tcW w:w="156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Не удовл</w:t>
            </w:r>
            <w:r w:rsidRPr="009B31CF">
              <w:rPr>
                <w:rFonts w:ascii="Times New Roman" w:hAnsi="Times New Roman"/>
              </w:rPr>
              <w:t>е</w:t>
            </w:r>
            <w:r w:rsidRPr="009B31CF">
              <w:rPr>
                <w:rFonts w:ascii="Times New Roman" w:hAnsi="Times New Roman"/>
              </w:rPr>
              <w:t>творен</w:t>
            </w:r>
          </w:p>
        </w:tc>
      </w:tr>
      <w:tr w:rsidR="009508E8" w:rsidRPr="009B31CF" w:rsidTr="00E9656E">
        <w:tc>
          <w:tcPr>
            <w:tcW w:w="2660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удовлетворенность</w:t>
            </w:r>
          </w:p>
          <w:p w:rsidR="009508E8" w:rsidRPr="009B31CF" w:rsidRDefault="009508E8" w:rsidP="00950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487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139</w:t>
            </w:r>
          </w:p>
        </w:tc>
        <w:tc>
          <w:tcPr>
            <w:tcW w:w="1844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61</w:t>
            </w:r>
          </w:p>
        </w:tc>
        <w:tc>
          <w:tcPr>
            <w:tcW w:w="1562" w:type="dxa"/>
            <w:vAlign w:val="center"/>
          </w:tcPr>
          <w:p w:rsidR="009508E8" w:rsidRPr="009B31CF" w:rsidRDefault="009508E8" w:rsidP="0095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29</w:t>
            </w:r>
          </w:p>
        </w:tc>
      </w:tr>
    </w:tbl>
    <w:p w:rsidR="009508E8" w:rsidRPr="009B31CF" w:rsidRDefault="009508E8" w:rsidP="00D35A3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2719C" w:rsidRPr="009B31CF" w:rsidRDefault="009508E8" w:rsidP="00903BAD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B42FA0" wp14:editId="5293D86D">
            <wp:extent cx="5991225" cy="2581275"/>
            <wp:effectExtent l="0" t="0" r="9525" b="952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602EC3" w:rsidRPr="009B31CF" w:rsidRDefault="00602EC3" w:rsidP="0022719C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508E8" w:rsidRPr="009B31CF" w:rsidRDefault="0022719C" w:rsidP="0022719C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B31CF">
        <w:rPr>
          <w:rFonts w:ascii="Times New Roman" w:eastAsia="Arial Unicode MS" w:hAnsi="Times New Roman"/>
          <w:b/>
          <w:sz w:val="28"/>
          <w:szCs w:val="28"/>
          <w:lang w:eastAsia="ru-RU"/>
        </w:rPr>
        <w:t>2.3.11. Рынок услуг социального обслуживания населения</w:t>
      </w:r>
    </w:p>
    <w:p w:rsidR="0022719C" w:rsidRPr="009B31CF" w:rsidRDefault="0022719C" w:rsidP="0022719C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B07666" w:rsidRPr="009B31CF" w:rsidRDefault="00B07666" w:rsidP="00B07666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На территории МО Тимашевский район осуществляют свою деятел</w:t>
      </w:r>
      <w:r w:rsidRPr="009B31CF">
        <w:rPr>
          <w:rFonts w:ascii="Times New Roman" w:hAnsi="Times New Roman"/>
          <w:sz w:val="28"/>
          <w:szCs w:val="28"/>
        </w:rPr>
        <w:t>ь</w:t>
      </w:r>
      <w:r w:rsidRPr="009B31CF">
        <w:rPr>
          <w:rFonts w:ascii="Times New Roman" w:hAnsi="Times New Roman"/>
          <w:sz w:val="28"/>
          <w:szCs w:val="28"/>
        </w:rPr>
        <w:t>ность 5 государственных учреждений, подведомственные Министерству труда и социального развития Краснодарского края), оказывающих социальные усл</w:t>
      </w:r>
      <w:r w:rsidRPr="009B31CF">
        <w:rPr>
          <w:rFonts w:ascii="Times New Roman" w:hAnsi="Times New Roman"/>
          <w:sz w:val="28"/>
          <w:szCs w:val="28"/>
        </w:rPr>
        <w:t>у</w:t>
      </w:r>
      <w:r w:rsidRPr="009B31CF">
        <w:rPr>
          <w:rFonts w:ascii="Times New Roman" w:hAnsi="Times New Roman"/>
          <w:sz w:val="28"/>
          <w:szCs w:val="28"/>
        </w:rPr>
        <w:lastRenderedPageBreak/>
        <w:t>ги: 4 из них стационарные, в том числе 1 из них для несовершеннолетних.  Д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намика количества данных учреждений за последние три года не изменилась.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hAnsi="Times New Roman"/>
          <w:sz w:val="28"/>
          <w:szCs w:val="28"/>
        </w:rPr>
        <w:t xml:space="preserve">В 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Государственном казенном учреждении социального обслужив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ния Краснодарского края «Тимашевский социально-реабилитационный центр для несовершеннолетних» 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предоставляются</w:t>
      </w:r>
      <w:r w:rsidRPr="009B31CF">
        <w:rPr>
          <w:rFonts w:ascii="Times New Roman" w:hAnsi="Times New Roman"/>
          <w:sz w:val="28"/>
          <w:szCs w:val="28"/>
        </w:rPr>
        <w:t xml:space="preserve"> следующие виды социал</w:t>
      </w:r>
      <w:r w:rsidRPr="009B31CF">
        <w:rPr>
          <w:rFonts w:ascii="Times New Roman" w:hAnsi="Times New Roman"/>
          <w:sz w:val="28"/>
          <w:szCs w:val="28"/>
        </w:rPr>
        <w:t>ь</w:t>
      </w:r>
      <w:r w:rsidRPr="009B31CF">
        <w:rPr>
          <w:rFonts w:ascii="Times New Roman" w:hAnsi="Times New Roman"/>
          <w:sz w:val="28"/>
          <w:szCs w:val="28"/>
        </w:rPr>
        <w:t>ных услуг: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B31CF">
        <w:rPr>
          <w:rFonts w:ascii="Times New Roman" w:hAnsi="Times New Roman"/>
          <w:sz w:val="28"/>
          <w:szCs w:val="28"/>
        </w:rPr>
        <w:t xml:space="preserve">социально-педагогические, социально-психологические, социально-правовые, социально-медицинские, социально-бытовые и социально-трудовые. 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В учреждении работают специалисты разного профиля: медицинские работники, воспитатели, педагоги-психологи, социальные педагоги.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Наличие такой команды позволяет составить полную картину психич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ского, физического и нравственного здоровья несовершеннолетних, установить причины имеющихся проблем в семье и предложить необходимые виды псих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лого-педагогической и медико-социальной помощи ребенку и семье. 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Работа всех специалистов учреждения подчинена одной цели «Сохр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ним семью для ребенка, сохраним ребенка в семье». Каждый из сотрудников центра работает, помогая детям найти путь возращения домой, а семье стать достойной этого возвращения.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66"/>
        <w:gridCol w:w="1971"/>
        <w:gridCol w:w="1972"/>
        <w:gridCol w:w="1972"/>
      </w:tblGrid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 г.</w:t>
            </w:r>
          </w:p>
        </w:tc>
      </w:tr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Социальное обслуживание семей и детей в госуда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ственных учреждениях соц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ального обслуживания Кра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нодарского края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детей – 124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взрослых 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noBreakHyphen/>
              <w:t xml:space="preserve"> 132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детей – 156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взрослых 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noBreakHyphen/>
              <w:t> 139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детей – 148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взрослых 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noBreakHyphen/>
              <w:t> 92</w:t>
            </w:r>
          </w:p>
        </w:tc>
      </w:tr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Общее количество оказа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CF">
              <w:rPr>
                <w:rFonts w:ascii="Times New Roman" w:hAnsi="Times New Roman"/>
                <w:sz w:val="28"/>
                <w:szCs w:val="28"/>
              </w:rPr>
              <w:t>88659 услуг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hAnsi="Times New Roman"/>
                <w:sz w:val="28"/>
                <w:szCs w:val="28"/>
              </w:rPr>
              <w:t>258744 услуги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245259 услуги</w:t>
            </w:r>
          </w:p>
        </w:tc>
      </w:tr>
    </w:tbl>
    <w:p w:rsidR="00B07666" w:rsidRPr="009B31CF" w:rsidRDefault="00B07666" w:rsidP="00B0766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Все услуги оказываются на безвозмездной основе. </w:t>
      </w:r>
    </w:p>
    <w:p w:rsidR="00B07666" w:rsidRPr="009B31CF" w:rsidRDefault="00B07666" w:rsidP="00B07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Количество услуг в 2016 году составил 94,8% по сравнению с 2015 годом и  276,6 % по сравнению с 2014 годом.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2016 году отмечается незначительное уменьшение числа оказываемых услуг, это не говорит о снижении качества оказываемых услуг. Наоборот, если в 2014 году в стационарном учреждении находились несовершеннолетние, проживающие только в районе, а с 2015 года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> из других регионов Краснода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и </w:t>
      </w:r>
      <w:proofErr w:type="spellStart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Р.Крым</w:t>
      </w:r>
      <w:proofErr w:type="spellEnd"/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. И с целью устранения трудной жизненной ситуации, в к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торую попала семья, где проживают несовершеннолетние граждане увеличился период пребывания в учреждении с 2-3 месяцев до 4-5 месяцев. Соответственно уменьшилось количество оказываемых услуг.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ab/>
        <w:t xml:space="preserve">Виды социальных услуг в 2 стационарных учреждениях </w:t>
      </w:r>
      <w:proofErr w:type="spellStart"/>
      <w:r w:rsidRPr="009B31CF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т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па для инвалидов с психоневрологическими заболеваниями: социально-реабилитационные, социально-педагогические, социально-психологические, социально-правовые, социально-медицинские, социально-бытовые,  социально-трудовые. Услуги оказываются на условиях частичной оплаты:</w:t>
      </w:r>
    </w:p>
    <w:p w:rsidR="00B07666" w:rsidRPr="009B31CF" w:rsidRDefault="00B07666" w:rsidP="00B07666">
      <w:pPr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1. Г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осударственное бюджетное учреждение социального обслужив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а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ния Краснодарского края</w:t>
      </w:r>
      <w:r w:rsidRPr="009B31CF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«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Тимашевский дом милосердия». </w:t>
      </w:r>
    </w:p>
    <w:p w:rsidR="00B07666" w:rsidRPr="009B31CF" w:rsidRDefault="00B07666" w:rsidP="00B07666">
      <w:pPr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ab/>
        <w:t>В доме «Милосердия» находится на круглосуточном обеспечении леж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чие больные. Для них созданы комфортные условия для проживания.</w:t>
      </w:r>
    </w:p>
    <w:p w:rsidR="00B07666" w:rsidRPr="009B31CF" w:rsidRDefault="00B07666" w:rsidP="00B07666">
      <w:pPr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00"/>
        <w:gridCol w:w="1902"/>
        <w:gridCol w:w="1903"/>
        <w:gridCol w:w="1903"/>
      </w:tblGrid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 г.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Предоставление социальн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 обслуживания в стаци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нарной форме, включая ок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зание социально-бытовых, медицинских услуг, псих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логических, социально-педагогических, социально-правовых</w:t>
            </w:r>
            <w:r w:rsidRPr="009B31C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(чел.)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349</w:t>
            </w:r>
          </w:p>
        </w:tc>
      </w:tr>
    </w:tbl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B31CF">
        <w:rPr>
          <w:rFonts w:ascii="Times New Roman" w:hAnsi="Times New Roman"/>
          <w:sz w:val="28"/>
          <w:szCs w:val="28"/>
        </w:rPr>
        <w:t>2. 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Государственное бюджетное учреждение социального обслужив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ния Краснодарского края «Медведовский психоневрологический инте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нат».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Одно из старейших учреждений социальной защиты Краснодарского края. Создавалось как интернат для инвалидов Великой Отечественной войны, и ведет свою историю с 1946 года. 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1992 года осуществляет услуги для людей с нарушением психического здоровья.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66"/>
        <w:gridCol w:w="1971"/>
        <w:gridCol w:w="1972"/>
        <w:gridCol w:w="1972"/>
      </w:tblGrid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 г.</w:t>
            </w:r>
          </w:p>
        </w:tc>
      </w:tr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B07666" w:rsidRPr="009B31CF" w:rsidTr="00861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Предоставление социального обслуживания в стациона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ной форме, включая оказание социально-бытовых, мед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цинских услуг, психологич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ских, социально-педагогических, социально-правовых (чел.)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 чел.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</w:t>
            </w:r>
          </w:p>
        </w:tc>
      </w:tr>
    </w:tbl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Общее количество оказанных услуг составило: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2014 год- 1797272 услуг;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2015 год- 1822918 услуг;</w:t>
      </w:r>
    </w:p>
    <w:p w:rsidR="00B07666" w:rsidRPr="009B31CF" w:rsidRDefault="00B07666" w:rsidP="00B07666">
      <w:pPr>
        <w:spacing w:line="254" w:lineRule="auto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2016 год  </w:t>
      </w:r>
      <w:r w:rsidRPr="009B31CF">
        <w:rPr>
          <w:rFonts w:ascii="Times New Roman" w:hAnsi="Times New Roman"/>
          <w:sz w:val="28"/>
          <w:szCs w:val="28"/>
        </w:rPr>
        <w:noBreakHyphen/>
        <w:t> 2698855 услуг.</w:t>
      </w:r>
    </w:p>
    <w:p w:rsidR="00B07666" w:rsidRPr="009B31CF" w:rsidRDefault="00B07666" w:rsidP="00B0766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Темп роста количества услуг в 2016 году составил 148% по сравнению с 2015 годом и 150 % по сравнению с 2014 годом.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ab/>
        <w:t>Виды социальных услуг в одном стационарном учреждении по реабил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тации инвалидов, проживающих на территории Краснодарского края: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noBreakHyphen/>
        <w:t> Г</w:t>
      </w:r>
      <w:r w:rsidRPr="009B31C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осударственное автономное учреждение социального обслуживания Краснодарского края «Тимашевский комплексный центр реабилитации инвалидов».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Самое молодое учреждение, которое создано по распоряжению губернатора Краснодарского края в 2011 году.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Краснодарском крае такое учреждение о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Основными направлениями деятельности учреждения</w:t>
      </w:r>
      <w:r w:rsidRPr="009B31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являются ос</w:t>
      </w:r>
      <w:r w:rsidRPr="009B31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9B31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ществление мероприятий по социальной реабилитации инвалидов и обучение инвалидов вождению легкового автомобиля с ручным управлением.</w:t>
      </w:r>
    </w:p>
    <w:p w:rsidR="00B07666" w:rsidRPr="009B31CF" w:rsidRDefault="00B07666" w:rsidP="00B07666">
      <w:pPr>
        <w:tabs>
          <w:tab w:val="left" w:pos="9638"/>
        </w:tabs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 xml:space="preserve">В структуре центра два отделения: в </w:t>
      </w:r>
      <w:r w:rsidRPr="009B31CF">
        <w:rPr>
          <w:rFonts w:ascii="Times New Roman" w:eastAsia="Times New Roman" w:hAnsi="Times New Roman"/>
          <w:bCs/>
          <w:color w:val="000000"/>
          <w:sz w:val="28"/>
          <w:szCs w:val="28"/>
        </w:rPr>
        <w:t>социально-реабилитационном отд</w:t>
      </w:r>
      <w:r w:rsidRPr="009B31CF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9B31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лении 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>проводится комплексная реабилитация инвалидов, в том числе социал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>ная, медицинская, физическая, психологическая и социокультурная реабилит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 xml:space="preserve">ции, а в </w:t>
      </w:r>
      <w:r w:rsidRPr="009B31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отделении социальной адаптации </w:t>
      </w:r>
      <w:r w:rsidRPr="009B31CF">
        <w:rPr>
          <w:rFonts w:ascii="Times New Roman" w:eastAsia="Times New Roman" w:hAnsi="Times New Roman"/>
          <w:color w:val="000000"/>
          <w:sz w:val="28"/>
          <w:szCs w:val="28"/>
        </w:rPr>
        <w:t xml:space="preserve">инвалидов действует так называемая «автошкола», </w:t>
      </w:r>
      <w:r w:rsidRPr="009B3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обучающая вождению автомобиля </w:t>
      </w:r>
      <w:r w:rsidRPr="009B31CF">
        <w:rPr>
          <w:rFonts w:ascii="Times New Roman" w:eastAsia="Times New Roman" w:hAnsi="Times New Roman"/>
          <w:sz w:val="28"/>
          <w:szCs w:val="28"/>
        </w:rPr>
        <w:t>инвалидов с нарушениями опорно-двигательного аппарата и органов слуха.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31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(чел.)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03"/>
        <w:gridCol w:w="1901"/>
        <w:gridCol w:w="1902"/>
        <w:gridCol w:w="1902"/>
      </w:tblGrid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2016 г.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социально-реабилитационное отдел</w:t>
            </w: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28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219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отделении социальной ада</w:t>
            </w: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B31C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тации </w:t>
            </w:r>
            <w:r w:rsidRPr="009B31C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инвалидов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«автошкола»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52</w:t>
            </w:r>
          </w:p>
        </w:tc>
      </w:tr>
      <w:tr w:rsidR="00B07666" w:rsidRPr="009B31CF" w:rsidTr="0086187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Общее количество оказа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9B31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40658 услуг;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34569 услуг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6" w:rsidRPr="009B31CF" w:rsidRDefault="00B07666" w:rsidP="00B0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40628 услуг</w:t>
            </w:r>
          </w:p>
          <w:p w:rsidR="00B07666" w:rsidRPr="009B31CF" w:rsidRDefault="00B07666" w:rsidP="00B0766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Количество оказанных услуг в 2016 году составил 117% по сравнению с 2015 годом и 99,9% по сравнению с 2014 годом.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ab/>
        <w:t xml:space="preserve"> В нестационарном учреждении комплексного центра социального о</w:t>
      </w:r>
      <w:r w:rsidRPr="009B31CF">
        <w:rPr>
          <w:rFonts w:ascii="Times New Roman" w:hAnsi="Times New Roman"/>
          <w:sz w:val="28"/>
          <w:szCs w:val="28"/>
        </w:rPr>
        <w:t>б</w:t>
      </w:r>
      <w:r w:rsidRPr="009B31CF">
        <w:rPr>
          <w:rFonts w:ascii="Times New Roman" w:hAnsi="Times New Roman"/>
          <w:sz w:val="28"/>
          <w:szCs w:val="28"/>
        </w:rPr>
        <w:t>служивания населения:</w:t>
      </w:r>
    </w:p>
    <w:p w:rsidR="00B07666" w:rsidRPr="009B31CF" w:rsidRDefault="00B07666" w:rsidP="00B076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осударственное бюджетное учреждение социального обслуживания Кра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</w:t>
      </w:r>
      <w:r w:rsidRPr="009B31C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нодарского края 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«Тимашевский комплексный центр социального обсл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живания населения» предоставляются следующие </w:t>
      </w:r>
      <w:r w:rsidRPr="009B31CF">
        <w:rPr>
          <w:rFonts w:ascii="Times New Roman" w:hAnsi="Times New Roman"/>
          <w:sz w:val="28"/>
          <w:szCs w:val="28"/>
        </w:rPr>
        <w:t>виды услуг: социально-экономические, социально-педагогические, социально-психологические, соц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ально- правовые, социально-медицинские, социально-бытовые,  социально-трудовые. Услуги предоставляются как на бесплатной, так и на платной основе по утвержденным тарифам на платные услуги.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В учреждении функционирует 17 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noBreakHyphen/>
        <w:t> отделений надомного социального о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служивания по поселениям района, 2 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noBreakHyphen/>
        <w:t> отделения срочной социальной помощи, отделение профилактики семейного неблагополучия</w:t>
      </w:r>
      <w:r w:rsidRPr="009B31C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Сегодня комплексный центр единственное учреждение в районе, оказывающее социальную поддер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ж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ку всем слоям населения: детям, семьям, пожилым и инвалидам</w:t>
      </w:r>
      <w:r w:rsidRPr="009B31CF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В учреждении работает 270</w:t>
      </w:r>
      <w:r w:rsidRPr="009B31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 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человек. </w:t>
      </w:r>
    </w:p>
    <w:p w:rsidR="00B07666" w:rsidRPr="009B31CF" w:rsidRDefault="00B07666" w:rsidP="00B0766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Ежедневно социальные работники выполняют свои должностные обяза</w:t>
      </w:r>
      <w:r w:rsidRPr="009B31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</w:t>
      </w:r>
      <w:r w:rsidRPr="009B31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ности, посещая более 1500 клиентов на дому.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Оказывают разного рода услуги. Это и приобретение и доставка на дом подопечным необходимых продуктов питания и лекарственных препаратов, оплата коммунальных услуг, сопрово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>ж</w:t>
      </w:r>
      <w:r w:rsidRPr="009B31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дение в поликлинику, уборка жилых помещений и многие другие виды услуг.                                                                                  </w:t>
      </w:r>
    </w:p>
    <w:p w:rsidR="00B07666" w:rsidRPr="009B31CF" w:rsidRDefault="00B07666" w:rsidP="00B07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услуг составило: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>  2014 год- 660408, в том числе платные - 416057 услуг;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>  2015 год – 684420, в том числе платные  - 205326  услуг;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2016 год – 766456, в том числе платные 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>  327443услуги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услуг в 2016 году составил 112% по сравнению с 2015 годом и 116% по сравнению с 2014 годом.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>В результате проведенного мониторинга рынка услуг социального 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служивания населения установлено, что из 716 опрошенных человек считают, что количество организаций оказывающих вышеназванные услуги избыточно – 145 чел. (20,3%), достаточно - 336 чел. (46,9%), мало – 214 чел. (29,9 %), нет с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– 21 чел. (2,9%). </w:t>
      </w:r>
    </w:p>
    <w:p w:rsidR="00B07666" w:rsidRPr="009B31CF" w:rsidRDefault="00B07666" w:rsidP="00B07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Удовлетворены предоставленными услугами – 463 чел. (64,7%), скорее удовлетворены – 141 чел. (19,7 %), скорее не удовлетворены – 81 чел. (11,3%), не удовлетворены – 31 чел. (2%).</w:t>
      </w:r>
    </w:p>
    <w:p w:rsidR="00B07666" w:rsidRPr="009B31CF" w:rsidRDefault="00B07666" w:rsidP="00B07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>Тимашевский район один из регионов края, где развита сеть госуда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учреждений по предоставлению услуг социального обслуживания населения. Удовлетворены предоставленными услугами в государственных учреждениях составляет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noBreakHyphen/>
        <w:t> 64,7%. Частные учреждения по предоставлению с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циальных услуг населению в районе не значатся.</w:t>
      </w:r>
    </w:p>
    <w:p w:rsidR="00547FDB" w:rsidRPr="009B31CF" w:rsidRDefault="00547FDB" w:rsidP="00903B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94" w:rsidRDefault="00995311" w:rsidP="00547FDB">
      <w:pPr>
        <w:spacing w:before="120" w:after="12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121C">
        <w:rPr>
          <w:rFonts w:ascii="Times New Roman" w:hAnsi="Times New Roman"/>
          <w:b/>
          <w:sz w:val="28"/>
          <w:szCs w:val="28"/>
        </w:rPr>
        <w:t xml:space="preserve">Раздел 3. </w:t>
      </w:r>
      <w:r w:rsidR="00531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плана</w:t>
      </w:r>
      <w:r w:rsidR="00531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( «дорожной карты»)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действию развитию конкуренции и развитию конкурентной среды в мун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ципальном образовании </w:t>
      </w:r>
    </w:p>
    <w:p w:rsidR="00903BAD" w:rsidRPr="009B31CF" w:rsidRDefault="00861876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9B31CF">
        <w:rPr>
          <w:rFonts w:ascii="Times New Roman" w:hAnsi="Times New Roman"/>
          <w:iCs/>
          <w:sz w:val="28"/>
          <w:szCs w:val="28"/>
        </w:rPr>
        <w:t>План мероприятий («дорожная карта») по содействию развитию конк</w:t>
      </w:r>
      <w:r w:rsidRPr="009B31CF">
        <w:rPr>
          <w:rFonts w:ascii="Times New Roman" w:hAnsi="Times New Roman"/>
          <w:iCs/>
          <w:sz w:val="28"/>
          <w:szCs w:val="28"/>
        </w:rPr>
        <w:t>у</w:t>
      </w:r>
      <w:r w:rsidRPr="009B31CF">
        <w:rPr>
          <w:rFonts w:ascii="Times New Roman" w:hAnsi="Times New Roman"/>
          <w:iCs/>
          <w:sz w:val="28"/>
          <w:szCs w:val="28"/>
        </w:rPr>
        <w:t>ренции и по развитию конкурентной среды на территории муниципального о</w:t>
      </w:r>
      <w:r w:rsidRPr="009B31CF">
        <w:rPr>
          <w:rFonts w:ascii="Times New Roman" w:hAnsi="Times New Roman"/>
          <w:iCs/>
          <w:sz w:val="28"/>
          <w:szCs w:val="28"/>
        </w:rPr>
        <w:t>б</w:t>
      </w:r>
      <w:r w:rsidRPr="009B31CF">
        <w:rPr>
          <w:rFonts w:ascii="Times New Roman" w:hAnsi="Times New Roman"/>
          <w:iCs/>
          <w:sz w:val="28"/>
          <w:szCs w:val="28"/>
        </w:rPr>
        <w:t>разован</w:t>
      </w:r>
      <w:r w:rsidR="00CA5A5A" w:rsidRPr="009B31CF">
        <w:rPr>
          <w:rFonts w:ascii="Times New Roman" w:hAnsi="Times New Roman"/>
          <w:iCs/>
          <w:sz w:val="28"/>
          <w:szCs w:val="28"/>
        </w:rPr>
        <w:t xml:space="preserve">ия </w:t>
      </w:r>
      <w:proofErr w:type="spellStart"/>
      <w:r w:rsidR="00CA5A5A" w:rsidRPr="009B31CF">
        <w:rPr>
          <w:rFonts w:ascii="Times New Roman" w:hAnsi="Times New Roman"/>
          <w:iCs/>
          <w:sz w:val="28"/>
          <w:szCs w:val="28"/>
        </w:rPr>
        <w:t>Тимашевский</w:t>
      </w:r>
      <w:proofErr w:type="spellEnd"/>
      <w:r w:rsidR="00CA5A5A" w:rsidRPr="009B31CF">
        <w:rPr>
          <w:rFonts w:ascii="Times New Roman" w:hAnsi="Times New Roman"/>
          <w:iCs/>
          <w:sz w:val="28"/>
          <w:szCs w:val="28"/>
        </w:rPr>
        <w:t xml:space="preserve"> район утвержден 12</w:t>
      </w:r>
      <w:r w:rsidRPr="009B31CF">
        <w:rPr>
          <w:rFonts w:ascii="Times New Roman" w:hAnsi="Times New Roman"/>
          <w:iCs/>
          <w:sz w:val="28"/>
          <w:szCs w:val="28"/>
        </w:rPr>
        <w:t xml:space="preserve"> мая 2016 года главой муниц</w:t>
      </w:r>
      <w:r w:rsidRPr="009B31CF">
        <w:rPr>
          <w:rFonts w:ascii="Times New Roman" w:hAnsi="Times New Roman"/>
          <w:iCs/>
          <w:sz w:val="28"/>
          <w:szCs w:val="28"/>
        </w:rPr>
        <w:t>и</w:t>
      </w:r>
      <w:r w:rsidRPr="009B31CF">
        <w:rPr>
          <w:rFonts w:ascii="Times New Roman" w:hAnsi="Times New Roman"/>
          <w:iCs/>
          <w:sz w:val="28"/>
          <w:szCs w:val="28"/>
        </w:rPr>
        <w:t xml:space="preserve">пального образования </w:t>
      </w:r>
      <w:proofErr w:type="spellStart"/>
      <w:r w:rsidRPr="009B31CF">
        <w:rPr>
          <w:rFonts w:ascii="Times New Roman" w:hAnsi="Times New Roman"/>
          <w:iCs/>
          <w:sz w:val="28"/>
          <w:szCs w:val="28"/>
        </w:rPr>
        <w:t>Тимашевский</w:t>
      </w:r>
      <w:proofErr w:type="spellEnd"/>
      <w:r w:rsidRPr="009B31CF">
        <w:rPr>
          <w:rFonts w:ascii="Times New Roman" w:hAnsi="Times New Roman"/>
          <w:iCs/>
          <w:sz w:val="28"/>
          <w:szCs w:val="28"/>
        </w:rPr>
        <w:t xml:space="preserve"> район А.В. </w:t>
      </w:r>
      <w:proofErr w:type="spellStart"/>
      <w:r w:rsidRPr="009B31CF">
        <w:rPr>
          <w:rFonts w:ascii="Times New Roman" w:hAnsi="Times New Roman"/>
          <w:iCs/>
          <w:sz w:val="28"/>
          <w:szCs w:val="28"/>
        </w:rPr>
        <w:t>Житловым</w:t>
      </w:r>
      <w:proofErr w:type="spellEnd"/>
      <w:r w:rsidRPr="009B31CF">
        <w:rPr>
          <w:rFonts w:ascii="Times New Roman" w:hAnsi="Times New Roman"/>
          <w:iCs/>
          <w:sz w:val="28"/>
          <w:szCs w:val="28"/>
        </w:rPr>
        <w:t xml:space="preserve"> и размещен на</w:t>
      </w:r>
      <w:r w:rsidRPr="009B31CF">
        <w:t xml:space="preserve"> </w:t>
      </w:r>
      <w:r w:rsidRPr="009B31CF">
        <w:rPr>
          <w:rFonts w:ascii="Times New Roman" w:hAnsi="Times New Roman"/>
          <w:iCs/>
          <w:sz w:val="28"/>
          <w:szCs w:val="28"/>
        </w:rPr>
        <w:t>оф</w:t>
      </w:r>
      <w:r w:rsidRPr="009B31CF">
        <w:rPr>
          <w:rFonts w:ascii="Times New Roman" w:hAnsi="Times New Roman"/>
          <w:iCs/>
          <w:sz w:val="28"/>
          <w:szCs w:val="28"/>
        </w:rPr>
        <w:t>и</w:t>
      </w:r>
      <w:r w:rsidRPr="009B31CF">
        <w:rPr>
          <w:rFonts w:ascii="Times New Roman" w:hAnsi="Times New Roman"/>
          <w:iCs/>
          <w:sz w:val="28"/>
          <w:szCs w:val="28"/>
        </w:rPr>
        <w:t>циальном сайте муниципального образования Тимашевский район www.timregion.ru в разделе «Стандарт развития конкуренции»/»Мероприятия по развитию конкуренции».</w:t>
      </w:r>
      <w:proofErr w:type="gramEnd"/>
    </w:p>
    <w:p w:rsidR="00531FA3" w:rsidRPr="009B31CF" w:rsidRDefault="00C6717D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В плане определены одиннадцать социально-значимых приоритетных рынков для развития</w:t>
      </w:r>
      <w:r w:rsidR="00531FA3" w:rsidRPr="009B31CF">
        <w:rPr>
          <w:rFonts w:ascii="Times New Roman" w:hAnsi="Times New Roman"/>
          <w:iCs/>
          <w:sz w:val="28"/>
          <w:szCs w:val="28"/>
        </w:rPr>
        <w:t xml:space="preserve"> конкуренции. Наряду с этими рынками в плане определ</w:t>
      </w:r>
      <w:r w:rsidR="00531FA3" w:rsidRPr="009B31CF">
        <w:rPr>
          <w:rFonts w:ascii="Times New Roman" w:hAnsi="Times New Roman"/>
          <w:iCs/>
          <w:sz w:val="28"/>
          <w:szCs w:val="28"/>
        </w:rPr>
        <w:t>е</w:t>
      </w:r>
      <w:r w:rsidR="00531FA3" w:rsidRPr="009B31CF">
        <w:rPr>
          <w:rFonts w:ascii="Times New Roman" w:hAnsi="Times New Roman"/>
          <w:iCs/>
          <w:sz w:val="28"/>
          <w:szCs w:val="28"/>
        </w:rPr>
        <w:t>ны рынок сельхозпродукции (овощной и плодово-ягодной продукции, проду</w:t>
      </w:r>
      <w:r w:rsidR="00531FA3" w:rsidRPr="009B31CF">
        <w:rPr>
          <w:rFonts w:ascii="Times New Roman" w:hAnsi="Times New Roman"/>
          <w:iCs/>
          <w:sz w:val="28"/>
          <w:szCs w:val="28"/>
        </w:rPr>
        <w:t>к</w:t>
      </w:r>
      <w:r w:rsidR="00531FA3" w:rsidRPr="009B31CF">
        <w:rPr>
          <w:rFonts w:ascii="Times New Roman" w:hAnsi="Times New Roman"/>
          <w:iCs/>
          <w:sz w:val="28"/>
          <w:szCs w:val="28"/>
        </w:rPr>
        <w:t>ции животноводства и рынок бытовых услуг), которые содействуют развитию основных социально-значимых приоритетных рынков для развития конкуре</w:t>
      </w:r>
      <w:r w:rsidR="00531FA3" w:rsidRPr="009B31CF">
        <w:rPr>
          <w:rFonts w:ascii="Times New Roman" w:hAnsi="Times New Roman"/>
          <w:iCs/>
          <w:sz w:val="28"/>
          <w:szCs w:val="28"/>
        </w:rPr>
        <w:t>н</w:t>
      </w:r>
      <w:r w:rsidR="00531FA3" w:rsidRPr="009B31CF">
        <w:rPr>
          <w:rFonts w:ascii="Times New Roman" w:hAnsi="Times New Roman"/>
          <w:iCs/>
          <w:sz w:val="28"/>
          <w:szCs w:val="28"/>
        </w:rPr>
        <w:t>ции.</w:t>
      </w:r>
    </w:p>
    <w:p w:rsidR="00C6717D" w:rsidRPr="009B31CF" w:rsidRDefault="00C6717D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Мероприятия плана распределены по каждому рынку, определены цели мероприятий, целевые показатели от реализации мероприятий по годам (до 2018 года), а также ответственные исполнители.</w:t>
      </w:r>
    </w:p>
    <w:p w:rsidR="003824EF" w:rsidRPr="009B31CF" w:rsidRDefault="00C6717D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Раздел 2 Плана содержит</w:t>
      </w:r>
      <w:r w:rsidR="003824EF" w:rsidRPr="009B31CF">
        <w:rPr>
          <w:rFonts w:ascii="Times New Roman" w:hAnsi="Times New Roman"/>
          <w:iCs/>
          <w:sz w:val="28"/>
          <w:szCs w:val="28"/>
        </w:rPr>
        <w:t xml:space="preserve"> отдельные мероприятия по содействию разв</w:t>
      </w:r>
      <w:r w:rsidR="003824EF" w:rsidRPr="009B31CF">
        <w:rPr>
          <w:rFonts w:ascii="Times New Roman" w:hAnsi="Times New Roman"/>
          <w:iCs/>
          <w:sz w:val="28"/>
          <w:szCs w:val="28"/>
        </w:rPr>
        <w:t>и</w:t>
      </w:r>
      <w:r w:rsidR="003824EF" w:rsidRPr="009B31CF">
        <w:rPr>
          <w:rFonts w:ascii="Times New Roman" w:hAnsi="Times New Roman"/>
          <w:iCs/>
          <w:sz w:val="28"/>
          <w:szCs w:val="28"/>
        </w:rPr>
        <w:t>тию конкуренции на  иных приоритетных рынках, которые</w:t>
      </w:r>
      <w:r w:rsidRPr="009B31CF">
        <w:rPr>
          <w:rFonts w:ascii="Times New Roman" w:hAnsi="Times New Roman"/>
          <w:iCs/>
          <w:sz w:val="28"/>
          <w:szCs w:val="28"/>
        </w:rPr>
        <w:t xml:space="preserve"> </w:t>
      </w:r>
      <w:r w:rsidR="003824EF" w:rsidRPr="009B31CF">
        <w:rPr>
          <w:rFonts w:ascii="Times New Roman" w:hAnsi="Times New Roman"/>
          <w:iCs/>
          <w:sz w:val="28"/>
          <w:szCs w:val="28"/>
        </w:rPr>
        <w:t>имеют важное зн</w:t>
      </w:r>
      <w:r w:rsidR="003824EF" w:rsidRPr="009B31CF">
        <w:rPr>
          <w:rFonts w:ascii="Times New Roman" w:hAnsi="Times New Roman"/>
          <w:iCs/>
          <w:sz w:val="28"/>
          <w:szCs w:val="28"/>
        </w:rPr>
        <w:t>а</w:t>
      </w:r>
      <w:r w:rsidR="003824EF" w:rsidRPr="009B31CF">
        <w:rPr>
          <w:rFonts w:ascii="Times New Roman" w:hAnsi="Times New Roman"/>
          <w:iCs/>
          <w:sz w:val="28"/>
          <w:szCs w:val="28"/>
        </w:rPr>
        <w:t>чение для развития экономики Тимашевского района, а также влияют на с</w:t>
      </w:r>
      <w:r w:rsidR="003824EF" w:rsidRPr="009B31CF">
        <w:rPr>
          <w:rFonts w:ascii="Times New Roman" w:hAnsi="Times New Roman"/>
          <w:iCs/>
          <w:sz w:val="28"/>
          <w:szCs w:val="28"/>
        </w:rPr>
        <w:t>о</w:t>
      </w:r>
      <w:r w:rsidR="003824EF" w:rsidRPr="009B31CF">
        <w:rPr>
          <w:rFonts w:ascii="Times New Roman" w:hAnsi="Times New Roman"/>
          <w:iCs/>
          <w:sz w:val="28"/>
          <w:szCs w:val="28"/>
        </w:rPr>
        <w:t>вершенствование процессов конкуренции (рынок сельхозпродукции, рынок б</w:t>
      </w:r>
      <w:r w:rsidR="003824EF" w:rsidRPr="009B31CF">
        <w:rPr>
          <w:rFonts w:ascii="Times New Roman" w:hAnsi="Times New Roman"/>
          <w:iCs/>
          <w:sz w:val="28"/>
          <w:szCs w:val="28"/>
        </w:rPr>
        <w:t>ы</w:t>
      </w:r>
      <w:r w:rsidR="003824EF" w:rsidRPr="009B31CF">
        <w:rPr>
          <w:rFonts w:ascii="Times New Roman" w:hAnsi="Times New Roman"/>
          <w:iCs/>
          <w:sz w:val="28"/>
          <w:szCs w:val="28"/>
        </w:rPr>
        <w:t>товых услуг).</w:t>
      </w:r>
    </w:p>
    <w:p w:rsidR="00002E3D" w:rsidRPr="009B31CF" w:rsidRDefault="003824EF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Раздел 3 Плана содержит системные мероприятия развития конкурентной среды: по осуществлению процедур муниципальных закупок, совершенствов</w:t>
      </w:r>
      <w:r w:rsidRPr="009B31CF">
        <w:rPr>
          <w:rFonts w:ascii="Times New Roman" w:hAnsi="Times New Roman"/>
          <w:iCs/>
          <w:sz w:val="28"/>
          <w:szCs w:val="28"/>
        </w:rPr>
        <w:t>а</w:t>
      </w:r>
      <w:r w:rsidRPr="009B31CF">
        <w:rPr>
          <w:rFonts w:ascii="Times New Roman" w:hAnsi="Times New Roman"/>
          <w:iCs/>
          <w:sz w:val="28"/>
          <w:szCs w:val="28"/>
        </w:rPr>
        <w:lastRenderedPageBreak/>
        <w:t>нию процессов управления объектами</w:t>
      </w:r>
      <w:r w:rsidR="00547FDB" w:rsidRPr="009B31CF">
        <w:rPr>
          <w:rFonts w:ascii="Times New Roman" w:hAnsi="Times New Roman"/>
          <w:iCs/>
          <w:sz w:val="28"/>
          <w:szCs w:val="28"/>
        </w:rPr>
        <w:t xml:space="preserve"> муниципальной собственности,</w:t>
      </w:r>
      <w:r w:rsidR="00671DE4" w:rsidRPr="009B31CF">
        <w:rPr>
          <w:rFonts w:ascii="Times New Roman" w:hAnsi="Times New Roman"/>
          <w:iCs/>
          <w:sz w:val="28"/>
          <w:szCs w:val="28"/>
        </w:rPr>
        <w:t xml:space="preserve"> создание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развития конкуренции на рынке строительства, муниципальная поддержка социально ориентированных некоммерческих организаций, сниж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>ние административных барьеров</w:t>
      </w:r>
      <w:r w:rsidR="00274534" w:rsidRPr="009B31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доступная информация к субъектам ест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71DE4" w:rsidRPr="009B31CF">
        <w:rPr>
          <w:rFonts w:ascii="Times New Roman" w:eastAsia="Times New Roman" w:hAnsi="Times New Roman"/>
          <w:sz w:val="28"/>
          <w:szCs w:val="28"/>
          <w:lang w:eastAsia="ru-RU"/>
        </w:rPr>
        <w:t>ственных монополий</w:t>
      </w:r>
      <w:r w:rsidR="00274534" w:rsidRPr="009B31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1876" w:rsidRPr="009B31CF">
        <w:rPr>
          <w:rFonts w:ascii="Times New Roman" w:hAnsi="Times New Roman"/>
          <w:iCs/>
          <w:sz w:val="28"/>
          <w:szCs w:val="28"/>
        </w:rPr>
        <w:tab/>
      </w:r>
    </w:p>
    <w:p w:rsidR="00531FA3" w:rsidRPr="009B31CF" w:rsidRDefault="00531FA3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Отдел экономики и прогнозирования администрац</w:t>
      </w:r>
      <w:r w:rsidR="002F450C" w:rsidRPr="009B31CF">
        <w:rPr>
          <w:rFonts w:ascii="Times New Roman" w:hAnsi="Times New Roman"/>
          <w:iCs/>
          <w:sz w:val="28"/>
          <w:szCs w:val="28"/>
        </w:rPr>
        <w:t>ии муниципального образования Тимашевский район является уполномоченным органом, коорд</w:t>
      </w:r>
      <w:r w:rsidR="002F450C" w:rsidRPr="009B31CF">
        <w:rPr>
          <w:rFonts w:ascii="Times New Roman" w:hAnsi="Times New Roman"/>
          <w:iCs/>
          <w:sz w:val="28"/>
          <w:szCs w:val="28"/>
        </w:rPr>
        <w:t>и</w:t>
      </w:r>
      <w:r w:rsidR="002F450C" w:rsidRPr="009B31CF">
        <w:rPr>
          <w:rFonts w:ascii="Times New Roman" w:hAnsi="Times New Roman"/>
          <w:iCs/>
          <w:sz w:val="28"/>
          <w:szCs w:val="28"/>
        </w:rPr>
        <w:t>нирующим деятельность всех отделов ответственных за выполнение меропри</w:t>
      </w:r>
      <w:r w:rsidR="002F450C" w:rsidRPr="009B31CF">
        <w:rPr>
          <w:rFonts w:ascii="Times New Roman" w:hAnsi="Times New Roman"/>
          <w:iCs/>
          <w:sz w:val="28"/>
          <w:szCs w:val="28"/>
        </w:rPr>
        <w:t>я</w:t>
      </w:r>
      <w:r w:rsidR="002F450C" w:rsidRPr="009B31CF">
        <w:rPr>
          <w:rFonts w:ascii="Times New Roman" w:hAnsi="Times New Roman"/>
          <w:iCs/>
          <w:sz w:val="28"/>
          <w:szCs w:val="28"/>
        </w:rPr>
        <w:t xml:space="preserve">тий плана. </w:t>
      </w:r>
    </w:p>
    <w:p w:rsidR="002F450C" w:rsidRPr="009B31CF" w:rsidRDefault="002F450C" w:rsidP="0086187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B31CF">
        <w:rPr>
          <w:rFonts w:ascii="Times New Roman" w:hAnsi="Times New Roman"/>
          <w:iCs/>
          <w:sz w:val="28"/>
          <w:szCs w:val="28"/>
        </w:rPr>
        <w:t>Ежеквартально уполномоченным органом проводится мониторинг испо</w:t>
      </w:r>
      <w:r w:rsidRPr="009B31CF">
        <w:rPr>
          <w:rFonts w:ascii="Times New Roman" w:hAnsi="Times New Roman"/>
          <w:iCs/>
          <w:sz w:val="28"/>
          <w:szCs w:val="28"/>
        </w:rPr>
        <w:t>л</w:t>
      </w:r>
      <w:r w:rsidRPr="009B31CF">
        <w:rPr>
          <w:rFonts w:ascii="Times New Roman" w:hAnsi="Times New Roman"/>
          <w:iCs/>
          <w:sz w:val="28"/>
          <w:szCs w:val="28"/>
        </w:rPr>
        <w:t>нения запланированных мероприятий Плана. Итоги мониторинга оформляются сводным отчетом, который размещается на</w:t>
      </w:r>
      <w:r w:rsidRPr="009B31CF">
        <w:t xml:space="preserve"> </w:t>
      </w:r>
      <w:r w:rsidRPr="009B31CF">
        <w:rPr>
          <w:rFonts w:ascii="Times New Roman" w:hAnsi="Times New Roman"/>
          <w:iCs/>
          <w:sz w:val="28"/>
          <w:szCs w:val="28"/>
        </w:rPr>
        <w:t>официальном сайте муниципальн</w:t>
      </w:r>
      <w:r w:rsidRPr="009B31CF">
        <w:rPr>
          <w:rFonts w:ascii="Times New Roman" w:hAnsi="Times New Roman"/>
          <w:iCs/>
          <w:sz w:val="28"/>
          <w:szCs w:val="28"/>
        </w:rPr>
        <w:t>о</w:t>
      </w:r>
      <w:r w:rsidRPr="009B31CF">
        <w:rPr>
          <w:rFonts w:ascii="Times New Roman" w:hAnsi="Times New Roman"/>
          <w:iCs/>
          <w:sz w:val="28"/>
          <w:szCs w:val="28"/>
        </w:rPr>
        <w:t>го образования Тимашевский район www.timregion.ru в разделе «Стандарт ра</w:t>
      </w:r>
      <w:r w:rsidRPr="009B31CF">
        <w:rPr>
          <w:rFonts w:ascii="Times New Roman" w:hAnsi="Times New Roman"/>
          <w:iCs/>
          <w:sz w:val="28"/>
          <w:szCs w:val="28"/>
        </w:rPr>
        <w:t>з</w:t>
      </w:r>
      <w:r w:rsidRPr="009B31CF">
        <w:rPr>
          <w:rFonts w:ascii="Times New Roman" w:hAnsi="Times New Roman"/>
          <w:iCs/>
          <w:sz w:val="28"/>
          <w:szCs w:val="28"/>
        </w:rPr>
        <w:t>вития конкуренции»/»Мероприятия по развитию конкуренции».</w:t>
      </w:r>
    </w:p>
    <w:p w:rsidR="00B21D43" w:rsidRPr="009B31CF" w:rsidRDefault="002F450C" w:rsidP="00B21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hAnsi="Times New Roman"/>
          <w:sz w:val="28"/>
          <w:szCs w:val="28"/>
        </w:rPr>
        <w:t xml:space="preserve"> Сводная и</w:t>
      </w:r>
      <w:r w:rsidR="00861876" w:rsidRPr="009B31CF">
        <w:rPr>
          <w:rFonts w:ascii="Times New Roman" w:hAnsi="Times New Roman"/>
          <w:sz w:val="28"/>
          <w:szCs w:val="28"/>
        </w:rPr>
        <w:t xml:space="preserve">нформация </w:t>
      </w:r>
      <w:r w:rsidRPr="009B31CF">
        <w:rPr>
          <w:rFonts w:ascii="Times New Roman" w:hAnsi="Times New Roman"/>
          <w:sz w:val="28"/>
          <w:szCs w:val="28"/>
        </w:rPr>
        <w:t xml:space="preserve">по итогам 2016 года </w:t>
      </w:r>
      <w:r w:rsidR="00861876" w:rsidRPr="009B31CF">
        <w:rPr>
          <w:rFonts w:ascii="Times New Roman" w:hAnsi="Times New Roman"/>
          <w:sz w:val="28"/>
          <w:szCs w:val="28"/>
        </w:rPr>
        <w:t xml:space="preserve">о </w:t>
      </w:r>
      <w:r w:rsidRPr="009B31CF">
        <w:rPr>
          <w:rFonts w:ascii="Times New Roman" w:hAnsi="Times New Roman"/>
          <w:sz w:val="28"/>
          <w:szCs w:val="28"/>
        </w:rPr>
        <w:t>реализации каждого</w:t>
      </w:r>
      <w:r w:rsidR="00861876" w:rsidRPr="009B31CF">
        <w:rPr>
          <w:rFonts w:ascii="Times New Roman" w:hAnsi="Times New Roman"/>
          <w:sz w:val="28"/>
          <w:szCs w:val="28"/>
        </w:rPr>
        <w:t xml:space="preserve"> мер</w:t>
      </w:r>
      <w:r w:rsidR="00861876" w:rsidRPr="009B31CF">
        <w:rPr>
          <w:rFonts w:ascii="Times New Roman" w:hAnsi="Times New Roman"/>
          <w:sz w:val="28"/>
          <w:szCs w:val="28"/>
        </w:rPr>
        <w:t>о</w:t>
      </w:r>
      <w:r w:rsidR="00861876" w:rsidRPr="009B31CF">
        <w:rPr>
          <w:rFonts w:ascii="Times New Roman" w:hAnsi="Times New Roman"/>
          <w:sz w:val="28"/>
          <w:szCs w:val="28"/>
        </w:rPr>
        <w:t xml:space="preserve">приятия, </w:t>
      </w:r>
      <w:r w:rsidRPr="009B31CF">
        <w:rPr>
          <w:rFonts w:ascii="Times New Roman" w:hAnsi="Times New Roman"/>
          <w:sz w:val="28"/>
          <w:szCs w:val="28"/>
        </w:rPr>
        <w:t>о выполнении запланированных целевых показателей</w:t>
      </w:r>
      <w:r w:rsidR="00861876" w:rsidRPr="009B31CF">
        <w:rPr>
          <w:rFonts w:ascii="Times New Roman" w:hAnsi="Times New Roman"/>
          <w:sz w:val="28"/>
          <w:szCs w:val="28"/>
        </w:rPr>
        <w:t>, а также причин невыполнения представлены в отчете</w:t>
      </w:r>
      <w:r w:rsidR="00861876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</w:t>
      </w:r>
      <w:r w:rsidR="00861876"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1876" w:rsidRPr="009B31CF">
        <w:rPr>
          <w:rFonts w:ascii="Times New Roman" w:eastAsia="Times New Roman" w:hAnsi="Times New Roman"/>
          <w:sz w:val="28"/>
          <w:szCs w:val="28"/>
          <w:lang w:eastAsia="ru-RU"/>
        </w:rPr>
        <w:t>плана мероприятий («дорожной карты»)</w:t>
      </w:r>
      <w:r w:rsidR="00531FA3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876" w:rsidRPr="009B31CF">
        <w:rPr>
          <w:rFonts w:ascii="Times New Roman" w:eastAsia="Times New Roman" w:hAnsi="Times New Roman"/>
          <w:sz w:val="28"/>
          <w:szCs w:val="28"/>
          <w:lang w:eastAsia="ru-RU"/>
        </w:rPr>
        <w:t>по содействию развитию конкуренции и по развитию ко</w:t>
      </w:r>
      <w:r w:rsidR="00861876" w:rsidRPr="009B31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61876" w:rsidRPr="009B31CF">
        <w:rPr>
          <w:rFonts w:ascii="Times New Roman" w:eastAsia="Times New Roman" w:hAnsi="Times New Roman"/>
          <w:sz w:val="28"/>
          <w:szCs w:val="28"/>
          <w:lang w:eastAsia="ru-RU"/>
        </w:rPr>
        <w:t>курентной среды на территории муниципального образования Тимашевский район за 2016 год (приложение №2).</w:t>
      </w:r>
    </w:p>
    <w:p w:rsidR="00002E3D" w:rsidRPr="009B31CF" w:rsidRDefault="00274534" w:rsidP="003E1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Из 44 мероприятий</w:t>
      </w:r>
      <w:r w:rsidR="00B21D43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(«дорожной карты») по содействию развитию конкуренции и по развитию конкурентной среды на территории муниципальн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го образования Тимашевский район за 2016 год выполнено 42 мероприятия, что составляет 95,5%</w:t>
      </w:r>
      <w:r w:rsidR="00B21D43" w:rsidRPr="009B31CF">
        <w:rPr>
          <w:rFonts w:ascii="Times New Roman" w:eastAsia="Times New Roman" w:hAnsi="Times New Roman"/>
          <w:sz w:val="28"/>
          <w:szCs w:val="28"/>
          <w:lang w:eastAsia="ru-RU"/>
        </w:rPr>
        <w:t>,что свидетельствует об эффективности принимаемых мер в сфере развития конкуренции.</w:t>
      </w:r>
    </w:p>
    <w:p w:rsidR="003E118A" w:rsidRPr="009B31CF" w:rsidRDefault="003E118A" w:rsidP="003E1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21C" w:rsidRPr="009B31CF" w:rsidRDefault="00A8121C" w:rsidP="00A8121C">
      <w:pPr>
        <w:spacing w:before="120" w:after="120" w:line="276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B31CF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Pr="009B31CF">
        <w:rPr>
          <w:rFonts w:ascii="Times New Roman" w:hAnsi="Times New Roman"/>
          <w:b/>
          <w:sz w:val="28"/>
          <w:szCs w:val="28"/>
        </w:rPr>
        <w:t>Создание и реализация механизмов общественного ко</w:t>
      </w:r>
      <w:r w:rsidRPr="009B31CF">
        <w:rPr>
          <w:rFonts w:ascii="Times New Roman" w:hAnsi="Times New Roman"/>
          <w:b/>
          <w:sz w:val="28"/>
          <w:szCs w:val="28"/>
        </w:rPr>
        <w:t>н</w:t>
      </w:r>
      <w:r w:rsidRPr="009B31CF">
        <w:rPr>
          <w:rFonts w:ascii="Times New Roman" w:hAnsi="Times New Roman"/>
          <w:b/>
          <w:sz w:val="28"/>
          <w:szCs w:val="28"/>
        </w:rPr>
        <w:t>троля за деятельностью субъектов естественных монополий.</w:t>
      </w:r>
    </w:p>
    <w:p w:rsidR="00E9656E" w:rsidRPr="009B31CF" w:rsidRDefault="00E9656E" w:rsidP="003E118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рынко</w:t>
      </w:r>
      <w:r w:rsidR="002833D6"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>, на которых присутствуют субъекты естественных м</w:t>
      </w:r>
      <w:r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B31CF">
        <w:rPr>
          <w:rFonts w:ascii="Times New Roman" w:eastAsia="Times New Roman" w:hAnsi="Times New Roman"/>
          <w:b/>
          <w:sz w:val="28"/>
          <w:szCs w:val="28"/>
          <w:lang w:eastAsia="ru-RU"/>
        </w:rPr>
        <w:t>нополий</w:t>
      </w:r>
    </w:p>
    <w:p w:rsidR="003E118A" w:rsidRPr="009B31CF" w:rsidRDefault="003E118A" w:rsidP="00825E3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>В муниципальном образовании Тимашевский район развиваются след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ющие рынки</w:t>
      </w:r>
      <w:r w:rsidR="00825E3F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присутствуют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субъекты естественных монополий :</w:t>
      </w:r>
    </w:p>
    <w:p w:rsidR="003E118A" w:rsidRPr="009B31CF" w:rsidRDefault="003E118A" w:rsidP="003E118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Рынок услуг жилищно-коммунального хозяйства (.</w:t>
      </w:r>
    </w:p>
    <w:p w:rsidR="003E118A" w:rsidRPr="009B31CF" w:rsidRDefault="003E118A" w:rsidP="003E118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Рынок услуг связи.</w:t>
      </w:r>
    </w:p>
    <w:p w:rsidR="00825E3F" w:rsidRPr="009B31CF" w:rsidRDefault="00825E3F" w:rsidP="00825E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услуг жилищно-коммунального хозяйства у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слуги электр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снабжения населению на территории Тимашевского района оказывает ПАО «Кубаньэ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нерго» и АО «НЭСК-электросети», услуги теплоснабжения на терр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тории Тимашевского района оказывает филиал АО «АТЭК», Услуги транспо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тировки газа населению оказывает АО «Тимашевскрайгаз», которое входит в систему единого оператора по транспортировке природного газа - АО «Газпром газораспределение Краснодар», основным поставщиком услуг водоснабжения и водоотведения на территории Тимашевского района является ООО «Комм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нальник».</w:t>
      </w:r>
    </w:p>
    <w:p w:rsidR="00825E3F" w:rsidRPr="009B31CF" w:rsidRDefault="00825E3F" w:rsidP="00825E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 рынке услуг связи основным поставщиком услуг электросвязи в ра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оне является </w:t>
      </w:r>
      <w:r w:rsidR="00B408DE" w:rsidRPr="009B31CF">
        <w:rPr>
          <w:rFonts w:ascii="Times New Roman" w:eastAsia="Times New Roman" w:hAnsi="Times New Roman"/>
          <w:sz w:val="28"/>
          <w:szCs w:val="28"/>
          <w:lang w:eastAsia="ru-RU"/>
        </w:rPr>
        <w:t>ПАО «Ростелеком», услуги почтовой связи в муниципальном о</w:t>
      </w:r>
      <w:r w:rsidR="00B408DE" w:rsidRPr="009B31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408DE" w:rsidRPr="009B31CF">
        <w:rPr>
          <w:rFonts w:ascii="Times New Roman" w:eastAsia="Times New Roman" w:hAnsi="Times New Roman"/>
          <w:sz w:val="28"/>
          <w:szCs w:val="28"/>
          <w:lang w:eastAsia="ru-RU"/>
        </w:rPr>
        <w:t>разовании Тимашевский район оказывает ФГУП «Почта России»</w:t>
      </w:r>
    </w:p>
    <w:p w:rsidR="00825E3F" w:rsidRPr="009B31CF" w:rsidRDefault="00825E3F" w:rsidP="00825E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сформированный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перечень рынков муниципального о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разования, на которых присутствуют субъекты естественных монополий 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глядит следующим образом</w:t>
      </w: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2376"/>
        <w:gridCol w:w="2997"/>
        <w:gridCol w:w="4374"/>
      </w:tblGrid>
      <w:tr w:rsidR="00825E3F" w:rsidRPr="009B31CF" w:rsidTr="00B408DE">
        <w:tc>
          <w:tcPr>
            <w:tcW w:w="2376" w:type="dxa"/>
          </w:tcPr>
          <w:p w:rsidR="00825E3F" w:rsidRPr="009B31CF" w:rsidRDefault="00825E3F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 xml:space="preserve"> Наименование пр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оритетных социал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ь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но значимых рынков</w:t>
            </w: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374" w:type="dxa"/>
            <w:vAlign w:val="center"/>
          </w:tcPr>
          <w:p w:rsidR="00825E3F" w:rsidRPr="009B31CF" w:rsidRDefault="00825E3F" w:rsidP="0082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 xml:space="preserve">Естественные монополии </w:t>
            </w:r>
          </w:p>
        </w:tc>
      </w:tr>
      <w:tr w:rsidR="00825E3F" w:rsidRPr="009B31CF" w:rsidTr="00B408DE">
        <w:tc>
          <w:tcPr>
            <w:tcW w:w="2376" w:type="dxa"/>
          </w:tcPr>
          <w:p w:rsidR="00825E3F" w:rsidRPr="009B31CF" w:rsidRDefault="000210E3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услуг ж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Водоснабжение, водоо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т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</w:tc>
        <w:tc>
          <w:tcPr>
            <w:tcW w:w="4374" w:type="dxa"/>
            <w:vAlign w:val="center"/>
          </w:tcPr>
          <w:p w:rsidR="004C464C" w:rsidRPr="009B31CF" w:rsidRDefault="000210E3" w:rsidP="00B408DE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«Коммунальник»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C464C" w:rsidRPr="009B31CF">
              <w:rPr>
                <w:rFonts w:ascii="Times New Roman" w:hAnsi="Times New Roman"/>
                <w:sz w:val="24"/>
                <w:szCs w:val="24"/>
              </w:rPr>
              <w:t xml:space="preserve"> ООО «Вод</w:t>
            </w:r>
            <w:r w:rsidR="004C464C" w:rsidRPr="009B31CF">
              <w:rPr>
                <w:rFonts w:ascii="Times New Roman" w:hAnsi="Times New Roman"/>
                <w:sz w:val="24"/>
                <w:szCs w:val="24"/>
              </w:rPr>
              <w:t>о</w:t>
            </w:r>
            <w:r w:rsidR="004C464C" w:rsidRPr="009B31CF">
              <w:rPr>
                <w:rFonts w:ascii="Times New Roman" w:hAnsi="Times New Roman"/>
                <w:sz w:val="24"/>
                <w:szCs w:val="24"/>
              </w:rPr>
              <w:t>снабжение»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 «Нимфа», МУП ЖКХ «Кубанец», ООО «Наш хутор», МУП ЖКХ «Универсал плюс», ООО «</w:t>
            </w:r>
            <w:proofErr w:type="spellStart"/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комбытсервис</w:t>
            </w:r>
            <w:proofErr w:type="spellEnd"/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МУП ЖКХ «Поселк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C464C"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вое», МУП ЖКХ «Незаймановское», ООО «Партнер»</w:t>
            </w:r>
          </w:p>
          <w:p w:rsidR="00825E3F" w:rsidRPr="009B31CF" w:rsidRDefault="00825E3F" w:rsidP="004C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3F" w:rsidRPr="009B31CF" w:rsidTr="00B408DE">
        <w:tc>
          <w:tcPr>
            <w:tcW w:w="2376" w:type="dxa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374" w:type="dxa"/>
            <w:vAlign w:val="center"/>
          </w:tcPr>
          <w:p w:rsidR="00825E3F" w:rsidRPr="009B31CF" w:rsidRDefault="00B408DE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  <w:lang w:bidi="ru-RU"/>
              </w:rPr>
              <w:t>АО «Тимашевскрайгаз»</w:t>
            </w:r>
          </w:p>
        </w:tc>
      </w:tr>
      <w:tr w:rsidR="00825E3F" w:rsidRPr="009B31CF" w:rsidTr="00B408DE">
        <w:tc>
          <w:tcPr>
            <w:tcW w:w="2376" w:type="dxa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374" w:type="dxa"/>
            <w:vAlign w:val="center"/>
          </w:tcPr>
          <w:p w:rsidR="00B408DE" w:rsidRPr="009B31CF" w:rsidRDefault="00B408DE" w:rsidP="00B40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 xml:space="preserve">Филиал ПАО «Кубаньэнерго» </w:t>
            </w:r>
            <w:proofErr w:type="spellStart"/>
            <w:r w:rsidRPr="009B31CF">
              <w:rPr>
                <w:rFonts w:ascii="Times New Roman" w:hAnsi="Times New Roman"/>
                <w:sz w:val="24"/>
                <w:szCs w:val="24"/>
              </w:rPr>
              <w:t>Тим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а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>шевские</w:t>
            </w:r>
            <w:proofErr w:type="spellEnd"/>
            <w:r w:rsidRPr="009B31CF">
              <w:rPr>
                <w:rFonts w:ascii="Times New Roman" w:hAnsi="Times New Roman"/>
                <w:sz w:val="24"/>
                <w:szCs w:val="24"/>
              </w:rPr>
              <w:t xml:space="preserve"> электрические сети, Филиал АО «НЭСК»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Тимашевскэлектросеть</w:t>
            </w:r>
            <w:proofErr w:type="spellEnd"/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25E3F" w:rsidRPr="009B31CF" w:rsidRDefault="00B408DE" w:rsidP="00B4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E3F" w:rsidRPr="009B31CF" w:rsidTr="00B408DE">
        <w:tc>
          <w:tcPr>
            <w:tcW w:w="2376" w:type="dxa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374" w:type="dxa"/>
            <w:vAlign w:val="center"/>
          </w:tcPr>
          <w:p w:rsidR="00825E3F" w:rsidRPr="009B31CF" w:rsidRDefault="00B408DE" w:rsidP="00B40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  <w:lang w:bidi="ru-RU"/>
              </w:rPr>
              <w:t>Филиал АО «АТЭК» «</w:t>
            </w:r>
            <w:proofErr w:type="spellStart"/>
            <w:r w:rsidRPr="009B31CF">
              <w:rPr>
                <w:rFonts w:ascii="Times New Roman" w:hAnsi="Times New Roman"/>
                <w:sz w:val="24"/>
                <w:szCs w:val="24"/>
                <w:lang w:bidi="ru-RU"/>
              </w:rPr>
              <w:t>Тимашевские</w:t>
            </w:r>
            <w:proofErr w:type="spellEnd"/>
            <w:r w:rsidRPr="009B31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тепловые сети»</w:t>
            </w:r>
          </w:p>
        </w:tc>
      </w:tr>
      <w:tr w:rsidR="00825E3F" w:rsidRPr="009B31CF" w:rsidTr="00B408DE">
        <w:tc>
          <w:tcPr>
            <w:tcW w:w="2376" w:type="dxa"/>
          </w:tcPr>
          <w:p w:rsidR="00825E3F" w:rsidRPr="009B31CF" w:rsidRDefault="00B408DE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2997" w:type="dxa"/>
            <w:vAlign w:val="center"/>
          </w:tcPr>
          <w:p w:rsidR="00825E3F" w:rsidRPr="009B31CF" w:rsidRDefault="00825E3F" w:rsidP="006F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hAnsi="Times New Roman"/>
                <w:sz w:val="24"/>
                <w:szCs w:val="24"/>
              </w:rPr>
              <w:t>Телефонная</w:t>
            </w:r>
            <w:r w:rsidR="00B408DE" w:rsidRPr="009B31CF">
              <w:rPr>
                <w:rFonts w:ascii="Times New Roman" w:hAnsi="Times New Roman"/>
                <w:sz w:val="24"/>
                <w:szCs w:val="24"/>
              </w:rPr>
              <w:t>, почтовая</w:t>
            </w:r>
            <w:r w:rsidRPr="009B31CF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4374" w:type="dxa"/>
            <w:vAlign w:val="center"/>
          </w:tcPr>
          <w:p w:rsidR="00825E3F" w:rsidRPr="009B31CF" w:rsidRDefault="00B408DE" w:rsidP="00B40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«Ростелеком»,</w:t>
            </w:r>
            <w:r w:rsidRPr="009B31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ФГУП «Почта Ро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сии»</w:t>
            </w:r>
          </w:p>
        </w:tc>
      </w:tr>
    </w:tbl>
    <w:p w:rsidR="00B408DE" w:rsidRPr="009B31CF" w:rsidRDefault="00B408DE" w:rsidP="00825E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ED6" w:rsidRPr="009B31CF" w:rsidRDefault="006F2ED6" w:rsidP="006F2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Проведенный анализ удовлетворенности качеством товаров, работ, услуг на рынке естественных монополий (на основе анкетирования) субъектов пре</w:t>
      </w:r>
      <w:r w:rsidRPr="009B31CF">
        <w:rPr>
          <w:rFonts w:ascii="Times New Roman" w:hAnsi="Times New Roman"/>
          <w:sz w:val="28"/>
          <w:szCs w:val="28"/>
        </w:rPr>
        <w:t>д</w:t>
      </w:r>
      <w:r w:rsidRPr="009B31CF">
        <w:rPr>
          <w:rFonts w:ascii="Times New Roman" w:hAnsi="Times New Roman"/>
          <w:sz w:val="28"/>
          <w:szCs w:val="28"/>
        </w:rPr>
        <w:t xml:space="preserve">принимательской деятельности и потребителей товаров, работ, услуг показал следующее. </w:t>
      </w:r>
    </w:p>
    <w:p w:rsidR="006F2ED6" w:rsidRPr="009B31CF" w:rsidRDefault="006F2ED6" w:rsidP="006F2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Опрошено 716 человек.</w:t>
      </w:r>
    </w:p>
    <w:p w:rsidR="006F2ED6" w:rsidRPr="009B31CF" w:rsidRDefault="006F2ED6" w:rsidP="006F2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Услуги по водоснабжению, водоотведению признаны удовлетворител</w:t>
      </w:r>
      <w:r w:rsidRPr="009B31CF">
        <w:rPr>
          <w:rFonts w:ascii="Times New Roman" w:hAnsi="Times New Roman"/>
          <w:sz w:val="28"/>
          <w:szCs w:val="28"/>
        </w:rPr>
        <w:t>ь</w:t>
      </w:r>
      <w:r w:rsidRPr="009B31CF">
        <w:rPr>
          <w:rFonts w:ascii="Times New Roman" w:hAnsi="Times New Roman"/>
          <w:sz w:val="28"/>
          <w:szCs w:val="28"/>
        </w:rPr>
        <w:t xml:space="preserve">ными 79 % опрошенных, по водоочистке – 76 %, по газоснабжению – 88 %, по электроснабжению – 88 %, по теплоснабжению – 84 %, услуги связи – 87 %. </w:t>
      </w:r>
    </w:p>
    <w:p w:rsidR="006F2ED6" w:rsidRPr="009B31CF" w:rsidRDefault="006F2ED6" w:rsidP="006F2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2898"/>
        <w:gridCol w:w="1817"/>
        <w:gridCol w:w="1683"/>
        <w:gridCol w:w="1582"/>
        <w:gridCol w:w="1767"/>
      </w:tblGrid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Монополии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31CF">
              <w:rPr>
                <w:rFonts w:ascii="Times New Roman" w:hAnsi="Times New Roman"/>
              </w:rPr>
              <w:t>Удовлетво-рительно</w:t>
            </w:r>
            <w:proofErr w:type="spellEnd"/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 xml:space="preserve">Скорее </w:t>
            </w:r>
            <w:proofErr w:type="spellStart"/>
            <w:r w:rsidRPr="009B31CF">
              <w:rPr>
                <w:rFonts w:ascii="Times New Roman" w:hAnsi="Times New Roman"/>
              </w:rPr>
              <w:t>удовлетво-рительно</w:t>
            </w:r>
            <w:proofErr w:type="spellEnd"/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 xml:space="preserve">Скорее </w:t>
            </w:r>
            <w:proofErr w:type="spellStart"/>
            <w:r w:rsidRPr="009B31CF">
              <w:rPr>
                <w:rFonts w:ascii="Times New Roman" w:hAnsi="Times New Roman"/>
              </w:rPr>
              <w:t>н</w:t>
            </w:r>
            <w:r w:rsidRPr="009B31CF">
              <w:rPr>
                <w:rFonts w:ascii="Times New Roman" w:hAnsi="Times New Roman"/>
              </w:rPr>
              <w:t>е</w:t>
            </w:r>
            <w:r w:rsidRPr="009B31CF">
              <w:rPr>
                <w:rFonts w:ascii="Times New Roman" w:hAnsi="Times New Roman"/>
              </w:rPr>
              <w:t>удовлет-ворительно</w:t>
            </w:r>
            <w:proofErr w:type="spellEnd"/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31CF">
              <w:rPr>
                <w:rFonts w:ascii="Times New Roman" w:hAnsi="Times New Roman"/>
              </w:rPr>
              <w:t>Неудовлет-ворительно</w:t>
            </w:r>
            <w:proofErr w:type="spellEnd"/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Водоснабжение, в</w:t>
            </w:r>
            <w:r w:rsidRPr="009B31CF">
              <w:rPr>
                <w:rFonts w:ascii="Times New Roman" w:hAnsi="Times New Roman"/>
              </w:rPr>
              <w:t>о</w:t>
            </w:r>
            <w:r w:rsidRPr="009B31CF">
              <w:rPr>
                <w:rFonts w:ascii="Times New Roman" w:hAnsi="Times New Roman"/>
              </w:rPr>
              <w:t>доотведение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431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132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86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67</w:t>
            </w:r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Водоочистка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404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141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88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83</w:t>
            </w:r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490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141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46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39</w:t>
            </w:r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485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148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51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32</w:t>
            </w:r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454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150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61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51</w:t>
            </w:r>
          </w:p>
        </w:tc>
      </w:tr>
      <w:tr w:rsidR="006F2ED6" w:rsidRPr="009B31CF" w:rsidTr="006F2ED6">
        <w:tc>
          <w:tcPr>
            <w:tcW w:w="29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Телефонная связь</w:t>
            </w:r>
          </w:p>
        </w:tc>
        <w:tc>
          <w:tcPr>
            <w:tcW w:w="184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124</w:t>
            </w:r>
          </w:p>
        </w:tc>
        <w:tc>
          <w:tcPr>
            <w:tcW w:w="1473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57</w:t>
            </w:r>
          </w:p>
        </w:tc>
        <w:tc>
          <w:tcPr>
            <w:tcW w:w="1787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35</w:t>
            </w:r>
          </w:p>
        </w:tc>
      </w:tr>
    </w:tbl>
    <w:p w:rsidR="006F2ED6" w:rsidRPr="009B31CF" w:rsidRDefault="006F2ED6" w:rsidP="006F2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1B0163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EA10FA" wp14:editId="7C9A1D36">
            <wp:extent cx="5019675" cy="49149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5F8B04" wp14:editId="4F64EF98">
            <wp:extent cx="3933825" cy="35337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487D92" wp14:editId="6E0644B2">
            <wp:extent cx="4038600" cy="40005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8647D8" wp14:editId="177EE198">
            <wp:extent cx="4133850" cy="4029075"/>
            <wp:effectExtent l="0" t="0" r="0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A13991" wp14:editId="392A619B">
            <wp:extent cx="3724275" cy="3838575"/>
            <wp:effectExtent l="0" t="0" r="9525" b="95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EF4503" wp14:editId="5B37456D">
            <wp:extent cx="3590924" cy="3895725"/>
            <wp:effectExtent l="0" t="0" r="10160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6F2ED6" w:rsidRPr="009B31CF" w:rsidRDefault="006F2ED6" w:rsidP="006F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6F2E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Анализ данных за 2014-2016 годов об уровнях тарифов (цен) на услуги естественных монополий показал, что повышение тарифов происходило в пр</w:t>
      </w:r>
      <w:r w:rsidRPr="009B31CF">
        <w:rPr>
          <w:rFonts w:ascii="Times New Roman" w:hAnsi="Times New Roman"/>
          <w:sz w:val="28"/>
          <w:szCs w:val="28"/>
        </w:rPr>
        <w:t>е</w:t>
      </w:r>
      <w:r w:rsidRPr="009B31CF">
        <w:rPr>
          <w:rFonts w:ascii="Times New Roman" w:hAnsi="Times New Roman"/>
          <w:sz w:val="28"/>
          <w:szCs w:val="28"/>
        </w:rPr>
        <w:t>делах максимальных индексов изменения размера вносимой гражданами платы за коммунальные услуги в соответствии с постановлением главы администр</w:t>
      </w:r>
      <w:r w:rsidRPr="009B31CF">
        <w:rPr>
          <w:rFonts w:ascii="Times New Roman" w:hAnsi="Times New Roman"/>
          <w:sz w:val="28"/>
          <w:szCs w:val="28"/>
        </w:rPr>
        <w:t>а</w:t>
      </w:r>
      <w:r w:rsidRPr="009B31CF">
        <w:rPr>
          <w:rFonts w:ascii="Times New Roman" w:hAnsi="Times New Roman"/>
          <w:sz w:val="28"/>
          <w:szCs w:val="28"/>
        </w:rPr>
        <w:t>ции (губернатора) Краснодарского края.</w:t>
      </w:r>
    </w:p>
    <w:p w:rsidR="006F2ED6" w:rsidRPr="009B31CF" w:rsidRDefault="006F2ED6" w:rsidP="006F2E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2972"/>
        <w:gridCol w:w="1145"/>
        <w:gridCol w:w="1126"/>
        <w:gridCol w:w="1126"/>
        <w:gridCol w:w="1126"/>
        <w:gridCol w:w="1126"/>
        <w:gridCol w:w="1126"/>
      </w:tblGrid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lastRenderedPageBreak/>
              <w:t>Монополии</w:t>
            </w:r>
          </w:p>
        </w:tc>
        <w:tc>
          <w:tcPr>
            <w:tcW w:w="2271" w:type="dxa"/>
            <w:gridSpan w:val="2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2014</w:t>
            </w:r>
          </w:p>
        </w:tc>
        <w:tc>
          <w:tcPr>
            <w:tcW w:w="2252" w:type="dxa"/>
            <w:gridSpan w:val="2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2015</w:t>
            </w:r>
          </w:p>
        </w:tc>
        <w:tc>
          <w:tcPr>
            <w:tcW w:w="2252" w:type="dxa"/>
            <w:gridSpan w:val="2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2016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1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2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1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2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1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CF">
              <w:rPr>
                <w:rFonts w:ascii="Times New Roman" w:hAnsi="Times New Roman"/>
                <w:sz w:val="20"/>
                <w:szCs w:val="20"/>
              </w:rPr>
              <w:t>2 полуг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о</w:t>
            </w:r>
            <w:r w:rsidRPr="009B31CF">
              <w:rPr>
                <w:rFonts w:ascii="Times New Roman" w:hAnsi="Times New Roman"/>
                <w:sz w:val="20"/>
                <w:szCs w:val="20"/>
              </w:rPr>
              <w:t>дие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29,72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29,82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29,82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33,67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33,67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35,07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31,39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32,91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32,91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38,88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38,88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40,41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5,05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5,27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5,27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5,65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5,65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5,81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3,62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3,76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3,76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4,12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4,12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4,28</w:t>
            </w:r>
          </w:p>
        </w:tc>
      </w:tr>
      <w:tr w:rsidR="006F2ED6" w:rsidRPr="009B31CF" w:rsidTr="006F2ED6">
        <w:tc>
          <w:tcPr>
            <w:tcW w:w="2972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145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2415,74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2525,74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2525,74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2733,73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hAnsi="Times New Roman"/>
              </w:rPr>
              <w:t>2733,73</w:t>
            </w:r>
          </w:p>
        </w:tc>
        <w:tc>
          <w:tcPr>
            <w:tcW w:w="1126" w:type="dxa"/>
            <w:vAlign w:val="center"/>
          </w:tcPr>
          <w:p w:rsidR="006F2ED6" w:rsidRPr="009B31CF" w:rsidRDefault="006F2ED6" w:rsidP="006F2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2845,68</w:t>
            </w:r>
          </w:p>
        </w:tc>
      </w:tr>
    </w:tbl>
    <w:p w:rsidR="006F2ED6" w:rsidRPr="009B31CF" w:rsidRDefault="006F2ED6" w:rsidP="006F2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ED6" w:rsidRPr="009B31CF" w:rsidRDefault="006F2ED6" w:rsidP="008A3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В муниципальном образовании проведен мониторинг деятельности ест</w:t>
      </w:r>
      <w:r w:rsidRPr="009B31CF">
        <w:rPr>
          <w:rFonts w:ascii="Times New Roman" w:hAnsi="Times New Roman"/>
          <w:sz w:val="28"/>
          <w:szCs w:val="28"/>
        </w:rPr>
        <w:t>е</w:t>
      </w:r>
      <w:r w:rsidRPr="009B31CF">
        <w:rPr>
          <w:rFonts w:ascii="Times New Roman" w:hAnsi="Times New Roman"/>
          <w:sz w:val="28"/>
          <w:szCs w:val="28"/>
        </w:rPr>
        <w:t>ственных монополий, предусмотренной к обязательному раскрытию информ</w:t>
      </w:r>
      <w:r w:rsidRPr="009B31CF">
        <w:rPr>
          <w:rFonts w:ascii="Times New Roman" w:hAnsi="Times New Roman"/>
          <w:sz w:val="28"/>
          <w:szCs w:val="28"/>
        </w:rPr>
        <w:t>а</w:t>
      </w:r>
      <w:r w:rsidRPr="009B31CF">
        <w:rPr>
          <w:rFonts w:ascii="Times New Roman" w:hAnsi="Times New Roman"/>
          <w:sz w:val="28"/>
          <w:szCs w:val="28"/>
        </w:rPr>
        <w:t>ции. Результаты данного мониторинга показали:</w:t>
      </w:r>
    </w:p>
    <w:p w:rsidR="00E9656E" w:rsidRPr="009B31CF" w:rsidRDefault="00E9656E" w:rsidP="008A30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</w:t>
      </w:r>
      <w:r w:rsidR="008A304C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электроснабжения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размещена на официальных сайтах предприятий по адресу: </w:t>
      </w:r>
      <w:hyperlink r:id="rId61" w:history="1">
        <w:r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http://kubanenergo.ru</w:t>
        </w:r>
      </w:hyperlink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62" w:history="1">
        <w:r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http://www.nesk-elseti.ru/</w:t>
        </w:r>
      </w:hyperlink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656E" w:rsidRPr="009B31CF" w:rsidRDefault="00E9656E" w:rsidP="00E965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</w:t>
      </w:r>
      <w:r w:rsidR="008A304C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теплоснабжения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оф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 сайте предприятия по адресу: </w:t>
      </w:r>
      <w:hyperlink r:id="rId63" w:history="1">
        <w:r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http://oao-atek.ru/</w:t>
        </w:r>
      </w:hyperlink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656E" w:rsidRPr="009B31CF" w:rsidRDefault="008A304C" w:rsidP="00E965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газоснабжения 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размещена на офиц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 сайте предприятия по адресу: </w:t>
      </w:r>
      <w:hyperlink r:id="rId64" w:history="1">
        <w:r w:rsidR="00E9656E"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http://gazpromgk.ru</w:t>
        </w:r>
      </w:hyperlink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656E" w:rsidRPr="009B31CF" w:rsidRDefault="00E9656E" w:rsidP="00E965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</w:t>
      </w:r>
      <w:r w:rsidR="008A304C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и водоотведения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официальном сайте предприятия по адресу: </w:t>
      </w:r>
      <w:hyperlink r:id="rId65" w:history="1">
        <w:r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http://oookommunalnik.ru/</w:t>
        </w:r>
      </w:hyperlink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56E" w:rsidRPr="009B31CF" w:rsidRDefault="008A304C" w:rsidP="00E965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почтовой связи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оф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 сайте предприятия по адресу: </w:t>
      </w:r>
      <w:hyperlink r:id="rId66" w:history="1">
        <w:r w:rsidR="00E9656E"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https://www.pochta.ru</w:t>
        </w:r>
      </w:hyperlink>
      <w:r w:rsidR="00E9656E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56E" w:rsidRPr="009B31CF" w:rsidRDefault="00E9656E" w:rsidP="00E965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осуществляемой в муниципальном образовании деятел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ности, о реализуемых и планируемых к реализации на территории района инв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стиционных программах, о структуре тарифов на услуги, параметрах качества и 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надежности предоставляемых услуг, стандартах обслуживания потребителей и процедур получения потребителями услуг</w:t>
      </w:r>
      <w:r w:rsidR="008A304C"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телефонной связи</w:t>
      </w:r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официальном сайте предприятия по адресу: </w:t>
      </w:r>
      <w:hyperlink r:id="rId67" w:history="1">
        <w:r w:rsidRPr="009B31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http://www.rostelecom.ru/</w:t>
        </w:r>
      </w:hyperlink>
      <w:r w:rsidRPr="009B3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56E" w:rsidRPr="009B31CF" w:rsidRDefault="00E9656E" w:rsidP="00E96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В рамках инвестиционной программы филиалом АО «НЭСК-электросети» «</w:t>
      </w:r>
      <w:proofErr w:type="spellStart"/>
      <w:r w:rsidRPr="009B31CF">
        <w:rPr>
          <w:rFonts w:ascii="Times New Roman" w:hAnsi="Times New Roman"/>
          <w:sz w:val="28"/>
          <w:szCs w:val="28"/>
        </w:rPr>
        <w:t>Тимашевскэлектросеть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» </w:t>
      </w:r>
      <w:r w:rsidR="008A304C" w:rsidRPr="009B31CF">
        <w:rPr>
          <w:rFonts w:ascii="Times New Roman" w:hAnsi="Times New Roman"/>
          <w:sz w:val="28"/>
          <w:szCs w:val="28"/>
        </w:rPr>
        <w:t xml:space="preserve">реализованы </w:t>
      </w:r>
      <w:r w:rsidRPr="009B31CF">
        <w:rPr>
          <w:rFonts w:ascii="Times New Roman" w:hAnsi="Times New Roman"/>
          <w:sz w:val="28"/>
          <w:szCs w:val="28"/>
        </w:rPr>
        <w:t xml:space="preserve"> следующие </w:t>
      </w:r>
      <w:r w:rsidR="008A304C" w:rsidRPr="009B31CF">
        <w:rPr>
          <w:rFonts w:ascii="Times New Roman" w:hAnsi="Times New Roman"/>
          <w:sz w:val="28"/>
          <w:szCs w:val="28"/>
        </w:rPr>
        <w:t>прое</w:t>
      </w:r>
      <w:r w:rsidRPr="009B31CF">
        <w:rPr>
          <w:rFonts w:ascii="Times New Roman" w:hAnsi="Times New Roman"/>
          <w:sz w:val="28"/>
          <w:szCs w:val="28"/>
        </w:rPr>
        <w:t>кты: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КЛ-10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от ПЗ1-ТП218 по ул. Заречная-Крупская  до Т8-ТП49, г. Тимашевск. Протяженность электрических сетей 0,8 км;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КЛ-10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от СК2-ТП98 в районе дома №11 </w:t>
      </w:r>
      <w:proofErr w:type="spellStart"/>
      <w:r w:rsidRPr="009B31CF">
        <w:rPr>
          <w:rFonts w:ascii="Times New Roman" w:hAnsi="Times New Roman"/>
          <w:sz w:val="28"/>
          <w:szCs w:val="28"/>
        </w:rPr>
        <w:t>мкр</w:t>
      </w:r>
      <w:proofErr w:type="spellEnd"/>
      <w:r w:rsidRPr="009B31CF">
        <w:rPr>
          <w:rFonts w:ascii="Times New Roman" w:hAnsi="Times New Roman"/>
          <w:sz w:val="28"/>
          <w:szCs w:val="28"/>
        </w:rPr>
        <w:t>. Инд</w:t>
      </w:r>
      <w:r w:rsidRPr="009B31CF">
        <w:rPr>
          <w:rFonts w:ascii="Times New Roman" w:hAnsi="Times New Roman"/>
          <w:sz w:val="28"/>
          <w:szCs w:val="28"/>
        </w:rPr>
        <w:t>у</w:t>
      </w:r>
      <w:r w:rsidRPr="009B31CF">
        <w:rPr>
          <w:rFonts w:ascii="Times New Roman" w:hAnsi="Times New Roman"/>
          <w:sz w:val="28"/>
          <w:szCs w:val="28"/>
        </w:rPr>
        <w:t xml:space="preserve">стриальный до СК2-ТП87 в районе дома №41 </w:t>
      </w:r>
      <w:proofErr w:type="spellStart"/>
      <w:r w:rsidRPr="009B31CF">
        <w:rPr>
          <w:rFonts w:ascii="Times New Roman" w:hAnsi="Times New Roman"/>
          <w:sz w:val="28"/>
          <w:szCs w:val="28"/>
        </w:rPr>
        <w:t>мкр.Индустриальный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1CF">
        <w:rPr>
          <w:rFonts w:ascii="Times New Roman" w:hAnsi="Times New Roman"/>
          <w:sz w:val="28"/>
          <w:szCs w:val="28"/>
        </w:rPr>
        <w:t>г.Тимашевск</w:t>
      </w:r>
      <w:proofErr w:type="spellEnd"/>
      <w:r w:rsidRPr="009B31CF">
        <w:rPr>
          <w:rFonts w:ascii="Times New Roman" w:hAnsi="Times New Roman"/>
          <w:sz w:val="28"/>
          <w:szCs w:val="28"/>
        </w:rPr>
        <w:t>. Протяженность сетей 0,8 км;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КТПП – 400/10/0,4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400кВА, ВЛЗ-10 кВ,ВЛИ-0,4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1CF">
        <w:rPr>
          <w:rFonts w:ascii="Times New Roman" w:hAnsi="Times New Roman"/>
          <w:sz w:val="28"/>
          <w:szCs w:val="28"/>
        </w:rPr>
        <w:t>ул.Шияна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№2, с переключением нагрузок от Т8-ТП32 и К39-ТП114 г. Тимашевск. Протяженность сетей 0,98 км, проектная мощность 0,4 </w:t>
      </w:r>
      <w:proofErr w:type="spellStart"/>
      <w:r w:rsidRPr="009B31CF">
        <w:rPr>
          <w:rFonts w:ascii="Times New Roman" w:hAnsi="Times New Roman"/>
          <w:sz w:val="28"/>
          <w:szCs w:val="28"/>
        </w:rPr>
        <w:t>МВа</w:t>
      </w:r>
      <w:proofErr w:type="spellEnd"/>
      <w:r w:rsidRPr="009B31CF">
        <w:rPr>
          <w:rFonts w:ascii="Times New Roman" w:hAnsi="Times New Roman"/>
          <w:sz w:val="28"/>
          <w:szCs w:val="28"/>
        </w:rPr>
        <w:t>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БКРПП взамен Т2-ТП4, </w:t>
      </w:r>
      <w:proofErr w:type="spellStart"/>
      <w:r w:rsidRPr="009B31CF">
        <w:rPr>
          <w:rFonts w:ascii="Times New Roman" w:hAnsi="Times New Roman"/>
          <w:sz w:val="28"/>
          <w:szCs w:val="28"/>
        </w:rPr>
        <w:t>ул.Братьев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Степановых – Ше</w:t>
      </w:r>
      <w:r w:rsidRPr="009B31CF">
        <w:rPr>
          <w:rFonts w:ascii="Times New Roman" w:hAnsi="Times New Roman"/>
          <w:sz w:val="28"/>
          <w:szCs w:val="28"/>
        </w:rPr>
        <w:t>в</w:t>
      </w:r>
      <w:r w:rsidRPr="009B31CF">
        <w:rPr>
          <w:rFonts w:ascii="Times New Roman" w:hAnsi="Times New Roman"/>
          <w:sz w:val="28"/>
          <w:szCs w:val="28"/>
        </w:rPr>
        <w:t xml:space="preserve">ченко, т. Тимашевск. Проектная мощность 0,4 </w:t>
      </w:r>
      <w:proofErr w:type="spellStart"/>
      <w:r w:rsidRPr="009B31CF">
        <w:rPr>
          <w:rFonts w:ascii="Times New Roman" w:hAnsi="Times New Roman"/>
          <w:sz w:val="28"/>
          <w:szCs w:val="28"/>
        </w:rPr>
        <w:t>МВа</w:t>
      </w:r>
      <w:proofErr w:type="spellEnd"/>
      <w:r w:rsidRPr="009B31CF">
        <w:rPr>
          <w:rFonts w:ascii="Times New Roman" w:hAnsi="Times New Roman"/>
          <w:sz w:val="28"/>
          <w:szCs w:val="28"/>
        </w:rPr>
        <w:t>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КТПП </w:t>
      </w:r>
      <w:proofErr w:type="spellStart"/>
      <w:r w:rsidRPr="009B31CF">
        <w:rPr>
          <w:rFonts w:ascii="Times New Roman" w:hAnsi="Times New Roman"/>
          <w:sz w:val="28"/>
          <w:szCs w:val="28"/>
        </w:rPr>
        <w:t>мкр</w:t>
      </w:r>
      <w:proofErr w:type="spellEnd"/>
      <w:r w:rsidRPr="009B31CF">
        <w:rPr>
          <w:rFonts w:ascii="Times New Roman" w:hAnsi="Times New Roman"/>
          <w:sz w:val="28"/>
          <w:szCs w:val="28"/>
        </w:rPr>
        <w:t>. Северный, г.Тимашевск</w:t>
      </w:r>
      <w:r w:rsidRPr="009B31CF">
        <w:rPr>
          <w:rFonts w:ascii="Times New Roman" w:hAnsi="Times New Roman"/>
          <w:sz w:val="28"/>
          <w:szCs w:val="28"/>
        </w:rPr>
        <w:tab/>
        <w:t xml:space="preserve">Протяженность электрических сете 0,3 км, проектная мощность 0,4 </w:t>
      </w:r>
      <w:proofErr w:type="spellStart"/>
      <w:r w:rsidRPr="009B31CF">
        <w:rPr>
          <w:rFonts w:ascii="Times New Roman" w:hAnsi="Times New Roman"/>
          <w:sz w:val="28"/>
          <w:szCs w:val="28"/>
        </w:rPr>
        <w:t>МВа</w:t>
      </w:r>
      <w:proofErr w:type="spellEnd"/>
      <w:r w:rsidRPr="009B31CF">
        <w:rPr>
          <w:rFonts w:ascii="Times New Roman" w:hAnsi="Times New Roman"/>
          <w:sz w:val="28"/>
          <w:szCs w:val="28"/>
        </w:rPr>
        <w:t>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КТПП – 400/10/0,4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400кВА, ВЛЗ-10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ВЛИ-0,4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в районе ул. Олимпийская №36, </w:t>
      </w:r>
      <w:proofErr w:type="spellStart"/>
      <w:r w:rsidRPr="009B31CF">
        <w:rPr>
          <w:rFonts w:ascii="Times New Roman" w:hAnsi="Times New Roman"/>
          <w:sz w:val="28"/>
          <w:szCs w:val="28"/>
        </w:rPr>
        <w:t>мкр</w:t>
      </w:r>
      <w:proofErr w:type="spellEnd"/>
      <w:r w:rsidRPr="009B31CF">
        <w:rPr>
          <w:rFonts w:ascii="Times New Roman" w:hAnsi="Times New Roman"/>
          <w:sz w:val="28"/>
          <w:szCs w:val="28"/>
        </w:rPr>
        <w:t>. Южный г.Тимашевск; протяженность эле</w:t>
      </w:r>
      <w:r w:rsidRPr="009B31CF">
        <w:rPr>
          <w:rFonts w:ascii="Times New Roman" w:hAnsi="Times New Roman"/>
          <w:sz w:val="28"/>
          <w:szCs w:val="28"/>
        </w:rPr>
        <w:t>к</w:t>
      </w:r>
      <w:r w:rsidRPr="009B31CF">
        <w:rPr>
          <w:rFonts w:ascii="Times New Roman" w:hAnsi="Times New Roman"/>
          <w:sz w:val="28"/>
          <w:szCs w:val="28"/>
        </w:rPr>
        <w:t>трических сетей 0,7 км, проектная мощность 0,4 </w:t>
      </w:r>
      <w:proofErr w:type="spellStart"/>
      <w:r w:rsidRPr="009B31CF">
        <w:rPr>
          <w:rFonts w:ascii="Times New Roman" w:hAnsi="Times New Roman"/>
          <w:sz w:val="28"/>
          <w:szCs w:val="28"/>
        </w:rPr>
        <w:t>МВа</w:t>
      </w:r>
      <w:proofErr w:type="spellEnd"/>
      <w:r w:rsidRPr="009B31CF">
        <w:rPr>
          <w:rFonts w:ascii="Times New Roman" w:hAnsi="Times New Roman"/>
          <w:sz w:val="28"/>
          <w:szCs w:val="28"/>
        </w:rPr>
        <w:t>.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- строительство БКТП – 400/10/0,4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250 </w:t>
      </w:r>
      <w:proofErr w:type="spellStart"/>
      <w:r w:rsidRPr="009B31CF">
        <w:rPr>
          <w:rFonts w:ascii="Times New Roman" w:hAnsi="Times New Roman"/>
          <w:sz w:val="28"/>
          <w:szCs w:val="28"/>
        </w:rPr>
        <w:t>кВа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ВЛЗ 10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, ВЛИ – 0,4 </w:t>
      </w:r>
      <w:proofErr w:type="spellStart"/>
      <w:r w:rsidRPr="009B31CF">
        <w:rPr>
          <w:rFonts w:ascii="Times New Roman" w:hAnsi="Times New Roman"/>
          <w:sz w:val="28"/>
          <w:szCs w:val="28"/>
        </w:rPr>
        <w:t>кВ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в районе ул. Осенняя 24, г.Тимашевск, протяженность электрических сетей 0,33 км, проектная мощность 0,25 </w:t>
      </w:r>
      <w:proofErr w:type="spellStart"/>
      <w:r w:rsidRPr="009B31CF">
        <w:rPr>
          <w:rFonts w:ascii="Times New Roman" w:hAnsi="Times New Roman"/>
          <w:sz w:val="28"/>
          <w:szCs w:val="28"/>
        </w:rPr>
        <w:t>МВа</w:t>
      </w:r>
      <w:proofErr w:type="spellEnd"/>
      <w:r w:rsidRPr="009B31CF">
        <w:rPr>
          <w:rFonts w:ascii="Times New Roman" w:hAnsi="Times New Roman"/>
          <w:sz w:val="28"/>
          <w:szCs w:val="28"/>
        </w:rPr>
        <w:t>;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На территори</w:t>
      </w:r>
      <w:r w:rsidR="00BD3D4C" w:rsidRPr="009B31C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D3D4C" w:rsidRPr="009B31CF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BD3D4C" w:rsidRPr="009B31CF">
        <w:rPr>
          <w:rFonts w:ascii="Times New Roman" w:hAnsi="Times New Roman"/>
          <w:sz w:val="28"/>
          <w:szCs w:val="28"/>
        </w:rPr>
        <w:t xml:space="preserve"> района две </w:t>
      </w:r>
      <w:proofErr w:type="spellStart"/>
      <w:r w:rsidR="00BD3D4C" w:rsidRPr="009B31CF">
        <w:rPr>
          <w:rFonts w:ascii="Times New Roman" w:hAnsi="Times New Roman"/>
          <w:sz w:val="28"/>
          <w:szCs w:val="28"/>
        </w:rPr>
        <w:t>водоп</w:t>
      </w:r>
      <w:r w:rsidR="008A304C"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дающие</w:t>
      </w:r>
      <w:proofErr w:type="spellEnd"/>
      <w:r w:rsidRPr="009B31CF">
        <w:rPr>
          <w:rFonts w:ascii="Times New Roman" w:hAnsi="Times New Roman"/>
          <w:sz w:val="28"/>
          <w:szCs w:val="28"/>
        </w:rPr>
        <w:t xml:space="preserve"> организации имеют инвестиционные программы на 2016 </w:t>
      </w:r>
      <w:r w:rsidR="008A304C" w:rsidRPr="009B31CF">
        <w:rPr>
          <w:rFonts w:ascii="Times New Roman" w:hAnsi="Times New Roman"/>
          <w:sz w:val="28"/>
          <w:szCs w:val="28"/>
        </w:rPr>
        <w:t xml:space="preserve">– 2017 </w:t>
      </w:r>
      <w:r w:rsidRPr="009B31CF">
        <w:rPr>
          <w:rFonts w:ascii="Times New Roman" w:hAnsi="Times New Roman"/>
          <w:sz w:val="28"/>
          <w:szCs w:val="28"/>
        </w:rPr>
        <w:t>год</w:t>
      </w:r>
      <w:r w:rsidR="008A304C" w:rsidRPr="009B31CF">
        <w:rPr>
          <w:rFonts w:ascii="Times New Roman" w:hAnsi="Times New Roman"/>
          <w:sz w:val="28"/>
          <w:szCs w:val="28"/>
        </w:rPr>
        <w:t>ы</w:t>
      </w:r>
      <w:r w:rsidRPr="009B31CF">
        <w:rPr>
          <w:rFonts w:ascii="Times New Roman" w:hAnsi="Times New Roman"/>
          <w:sz w:val="28"/>
          <w:szCs w:val="28"/>
        </w:rPr>
        <w:t>: ООО «Наш хутор» Новоленинского сельского поселения Тимашевского района и МУП ЖКХ «К</w:t>
      </w:r>
      <w:r w:rsidRPr="009B31CF">
        <w:rPr>
          <w:rFonts w:ascii="Times New Roman" w:hAnsi="Times New Roman"/>
          <w:sz w:val="28"/>
          <w:szCs w:val="28"/>
        </w:rPr>
        <w:t>у</w:t>
      </w:r>
      <w:r w:rsidRPr="009B31CF">
        <w:rPr>
          <w:rFonts w:ascii="Times New Roman" w:hAnsi="Times New Roman"/>
          <w:sz w:val="28"/>
          <w:szCs w:val="28"/>
        </w:rPr>
        <w:t>банец» сельского поселения Кубанец Тимашевского района.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 xml:space="preserve">За счет инвестиционной надбавки к тарифам по водоснабжению в сумме 1,39 </w:t>
      </w:r>
      <w:proofErr w:type="spellStart"/>
      <w:r w:rsidRPr="009B31CF">
        <w:rPr>
          <w:rFonts w:ascii="Times New Roman" w:hAnsi="Times New Roman"/>
          <w:sz w:val="28"/>
          <w:szCs w:val="28"/>
        </w:rPr>
        <w:t>руб</w:t>
      </w:r>
      <w:proofErr w:type="spellEnd"/>
      <w:r w:rsidRPr="009B31CF">
        <w:rPr>
          <w:rFonts w:ascii="Times New Roman" w:hAnsi="Times New Roman"/>
          <w:sz w:val="28"/>
          <w:szCs w:val="28"/>
        </w:rPr>
        <w:t>/м</w:t>
      </w:r>
      <w:r w:rsidRPr="009B31CF">
        <w:rPr>
          <w:rFonts w:ascii="Times New Roman" w:hAnsi="Times New Roman"/>
          <w:sz w:val="28"/>
          <w:szCs w:val="28"/>
          <w:vertAlign w:val="superscript"/>
        </w:rPr>
        <w:t>3</w:t>
      </w:r>
      <w:r w:rsidRPr="009B31CF">
        <w:rPr>
          <w:rFonts w:ascii="Times New Roman" w:hAnsi="Times New Roman"/>
          <w:sz w:val="28"/>
          <w:szCs w:val="28"/>
        </w:rPr>
        <w:t xml:space="preserve"> и водоотведению в сумме 0,98 </w:t>
      </w:r>
      <w:proofErr w:type="spellStart"/>
      <w:r w:rsidRPr="009B31CF">
        <w:rPr>
          <w:rFonts w:ascii="Times New Roman" w:hAnsi="Times New Roman"/>
          <w:sz w:val="28"/>
          <w:szCs w:val="28"/>
        </w:rPr>
        <w:t>руб</w:t>
      </w:r>
      <w:proofErr w:type="spellEnd"/>
      <w:r w:rsidRPr="009B31CF">
        <w:rPr>
          <w:rFonts w:ascii="Times New Roman" w:hAnsi="Times New Roman"/>
          <w:sz w:val="28"/>
          <w:szCs w:val="28"/>
        </w:rPr>
        <w:t>/м</w:t>
      </w:r>
      <w:r w:rsidRPr="009B31CF">
        <w:rPr>
          <w:rFonts w:ascii="Times New Roman" w:hAnsi="Times New Roman"/>
          <w:sz w:val="28"/>
          <w:szCs w:val="28"/>
          <w:vertAlign w:val="superscript"/>
        </w:rPr>
        <w:t>3</w:t>
      </w:r>
      <w:r w:rsidRPr="009B31CF">
        <w:rPr>
          <w:rFonts w:ascii="Times New Roman" w:hAnsi="Times New Roman"/>
          <w:sz w:val="28"/>
          <w:szCs w:val="28"/>
        </w:rPr>
        <w:t xml:space="preserve"> для МУП ЖКХ «Кубанец» в рамках инвестиционной программы, утверждённой решением Совета депутатов сельского поселения Кубанец Тимашевского района от 30 октября 2012 года № 136 «Об установлении надбавок к тарифам на услуги по вод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>снабжению и водоотведению и тарифов на подключение к системам водосна</w:t>
      </w:r>
      <w:r w:rsidRPr="009B31CF">
        <w:rPr>
          <w:rFonts w:ascii="Times New Roman" w:hAnsi="Times New Roman"/>
          <w:sz w:val="28"/>
          <w:szCs w:val="28"/>
        </w:rPr>
        <w:t>б</w:t>
      </w:r>
      <w:r w:rsidRPr="009B31CF">
        <w:rPr>
          <w:rFonts w:ascii="Times New Roman" w:hAnsi="Times New Roman"/>
          <w:sz w:val="28"/>
          <w:szCs w:val="28"/>
        </w:rPr>
        <w:t>жения и водоотведения в сельском поселении Кубанец Тимашевского района», планируется заменить водонапорную башню, расположенн</w:t>
      </w:r>
      <w:r w:rsidR="008A304C" w:rsidRPr="009B31CF">
        <w:rPr>
          <w:rFonts w:ascii="Times New Roman" w:hAnsi="Times New Roman"/>
          <w:sz w:val="28"/>
          <w:szCs w:val="28"/>
        </w:rPr>
        <w:t>ую</w:t>
      </w:r>
      <w:r w:rsidRPr="009B31CF">
        <w:rPr>
          <w:rFonts w:ascii="Times New Roman" w:hAnsi="Times New Roman"/>
          <w:sz w:val="28"/>
          <w:szCs w:val="28"/>
        </w:rPr>
        <w:t xml:space="preserve"> на ул. </w:t>
      </w:r>
      <w:proofErr w:type="spellStart"/>
      <w:r w:rsidRPr="009B31CF">
        <w:rPr>
          <w:rFonts w:ascii="Times New Roman" w:hAnsi="Times New Roman"/>
          <w:sz w:val="28"/>
          <w:szCs w:val="28"/>
        </w:rPr>
        <w:t>Кирпильской</w:t>
      </w:r>
      <w:proofErr w:type="spellEnd"/>
      <w:r w:rsidRPr="009B31CF">
        <w:rPr>
          <w:rFonts w:ascii="Times New Roman" w:hAnsi="Times New Roman"/>
          <w:sz w:val="28"/>
          <w:szCs w:val="28"/>
        </w:rPr>
        <w:t>. Расходная часть инвестиционной составляющей в тарифе МУП ЖКХ «Кубанец» в 2016 году согласно утвержденной программы состав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ла 200 тыс.рублей.</w:t>
      </w:r>
    </w:p>
    <w:p w:rsidR="00E9656E" w:rsidRPr="009B31CF" w:rsidRDefault="00E9656E" w:rsidP="00E96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t>Инвестиционная программа ООО «Наш хутор» Новоленинского сельск</w:t>
      </w:r>
      <w:r w:rsidRPr="009B31CF">
        <w:rPr>
          <w:rFonts w:ascii="Times New Roman" w:hAnsi="Times New Roman"/>
          <w:sz w:val="28"/>
          <w:szCs w:val="28"/>
        </w:rPr>
        <w:t>о</w:t>
      </w:r>
      <w:r w:rsidRPr="009B31CF">
        <w:rPr>
          <w:rFonts w:ascii="Times New Roman" w:hAnsi="Times New Roman"/>
          <w:sz w:val="28"/>
          <w:szCs w:val="28"/>
        </w:rPr>
        <w:t xml:space="preserve">го поселения вступила в действие с 1 июля 2013 года, инвестиционная надбавка составляет 0,98 </w:t>
      </w:r>
      <w:proofErr w:type="spellStart"/>
      <w:r w:rsidRPr="009B31CF">
        <w:rPr>
          <w:rFonts w:ascii="Times New Roman" w:hAnsi="Times New Roman"/>
          <w:sz w:val="28"/>
          <w:szCs w:val="28"/>
        </w:rPr>
        <w:t>руб</w:t>
      </w:r>
      <w:proofErr w:type="spellEnd"/>
      <w:r w:rsidRPr="009B31CF">
        <w:rPr>
          <w:rFonts w:ascii="Times New Roman" w:hAnsi="Times New Roman"/>
          <w:sz w:val="28"/>
          <w:szCs w:val="28"/>
        </w:rPr>
        <w:t>/м</w:t>
      </w:r>
      <w:r w:rsidRPr="009B31CF">
        <w:rPr>
          <w:rFonts w:ascii="Times New Roman" w:hAnsi="Times New Roman"/>
          <w:sz w:val="28"/>
          <w:szCs w:val="28"/>
          <w:vertAlign w:val="superscript"/>
        </w:rPr>
        <w:t>3</w:t>
      </w:r>
      <w:r w:rsidRPr="009B31CF">
        <w:rPr>
          <w:rFonts w:ascii="Times New Roman" w:hAnsi="Times New Roman"/>
          <w:sz w:val="28"/>
          <w:szCs w:val="28"/>
        </w:rPr>
        <w:t>. Расходная часть инвестиционной составляющей в тар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фе ООО «Наш хутор» в 2016 году согласно утвержденной программы состав</w:t>
      </w:r>
      <w:r w:rsidRPr="009B31CF">
        <w:rPr>
          <w:rFonts w:ascii="Times New Roman" w:hAnsi="Times New Roman"/>
          <w:sz w:val="28"/>
          <w:szCs w:val="28"/>
        </w:rPr>
        <w:t>и</w:t>
      </w:r>
      <w:r w:rsidRPr="009B31CF">
        <w:rPr>
          <w:rFonts w:ascii="Times New Roman" w:hAnsi="Times New Roman"/>
          <w:sz w:val="28"/>
          <w:szCs w:val="28"/>
        </w:rPr>
        <w:t>ла 111,8 тыс.руб. В рамках инвестиционной программы в 2016 году были в</w:t>
      </w:r>
      <w:r w:rsidRPr="009B31CF">
        <w:rPr>
          <w:rFonts w:ascii="Times New Roman" w:hAnsi="Times New Roman"/>
          <w:sz w:val="28"/>
          <w:szCs w:val="28"/>
        </w:rPr>
        <w:t>ы</w:t>
      </w:r>
      <w:r w:rsidRPr="009B31CF">
        <w:rPr>
          <w:rFonts w:ascii="Times New Roman" w:hAnsi="Times New Roman"/>
          <w:sz w:val="28"/>
          <w:szCs w:val="28"/>
        </w:rPr>
        <w:t>полнены следующие работы: установка нового насоса ЭЦВ 6-16-110, произв</w:t>
      </w:r>
      <w:r w:rsidRPr="009B31CF">
        <w:rPr>
          <w:rFonts w:ascii="Times New Roman" w:hAnsi="Times New Roman"/>
          <w:sz w:val="28"/>
          <w:szCs w:val="28"/>
        </w:rPr>
        <w:t>е</w:t>
      </w:r>
      <w:r w:rsidRPr="009B31CF">
        <w:rPr>
          <w:rFonts w:ascii="Times New Roman" w:hAnsi="Times New Roman"/>
          <w:sz w:val="28"/>
          <w:szCs w:val="28"/>
        </w:rPr>
        <w:lastRenderedPageBreak/>
        <w:t xml:space="preserve">ден ремонт водонапорной башни № 5737 и установлен новый прибор учета на водозаборе.  </w:t>
      </w:r>
    </w:p>
    <w:p w:rsidR="00E9656E" w:rsidRPr="009B31CF" w:rsidRDefault="00E9656E" w:rsidP="00E96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41" w:rsidRPr="009B31CF" w:rsidRDefault="00311D41" w:rsidP="0074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D1E1B2" wp14:editId="28CC41EE">
            <wp:extent cx="6048375" cy="3971925"/>
            <wp:effectExtent l="0" t="0" r="9525" b="9525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744C77" w:rsidRPr="009B31CF" w:rsidRDefault="00744C77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56E" w:rsidRPr="009B31CF" w:rsidRDefault="00E9656E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538EF2" wp14:editId="6C9FA657">
            <wp:extent cx="5905500" cy="3609975"/>
            <wp:effectExtent l="0" t="0" r="0" b="9525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E9656E" w:rsidRPr="009B31CF" w:rsidRDefault="00E9656E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56E" w:rsidRPr="009B31CF" w:rsidRDefault="00E9656E" w:rsidP="00E96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C77" w:rsidRDefault="00744C77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C77" w:rsidRDefault="00744C77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56E" w:rsidRPr="009B31CF" w:rsidRDefault="00E9656E" w:rsidP="00E9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1CF">
        <w:rPr>
          <w:rFonts w:ascii="Times New Roman" w:hAnsi="Times New Roman"/>
          <w:sz w:val="28"/>
          <w:szCs w:val="28"/>
        </w:rPr>
        <w:lastRenderedPageBreak/>
        <w:t xml:space="preserve">Результаты </w:t>
      </w:r>
      <w:proofErr w:type="gramStart"/>
      <w:r w:rsidRPr="009B31CF">
        <w:rPr>
          <w:rFonts w:ascii="Times New Roman" w:hAnsi="Times New Roman"/>
          <w:sz w:val="28"/>
          <w:szCs w:val="28"/>
        </w:rPr>
        <w:t>анализа соблюдения стандартов раскрытия информации</w:t>
      </w:r>
      <w:proofErr w:type="gramEnd"/>
      <w:r w:rsidRPr="009B31CF">
        <w:rPr>
          <w:rFonts w:ascii="Times New Roman" w:hAnsi="Times New Roman"/>
          <w:sz w:val="28"/>
          <w:szCs w:val="28"/>
        </w:rPr>
        <w:t xml:space="preserve"> субъектами естественных монополий</w:t>
      </w:r>
    </w:p>
    <w:p w:rsidR="00E9656E" w:rsidRPr="009B31CF" w:rsidRDefault="00E9656E" w:rsidP="00E96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92"/>
        <w:gridCol w:w="1134"/>
        <w:gridCol w:w="992"/>
        <w:gridCol w:w="992"/>
        <w:gridCol w:w="851"/>
        <w:gridCol w:w="850"/>
        <w:gridCol w:w="993"/>
        <w:gridCol w:w="1275"/>
      </w:tblGrid>
      <w:tr w:rsidR="00E9656E" w:rsidRPr="00311D41" w:rsidTr="00E9656E">
        <w:trPr>
          <w:trHeight w:hRule="exact" w:val="412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Сфера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регулируемой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Количество организ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ций, раскрывающих информацию в соотве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т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ствии с установленн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ы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ми требованиями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ПП №6 от 17.01.2013 (п. 28, 49, 60, 61, 62, 70), ПП №570 от 05.07.2013 (п. 19, 20, 21), ПП № 1140 от 30.12.2009 г. (п. 62)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об основных показат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лях ФХД и инвестиц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онной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Количество организ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ций, раскрывающих информацию в соо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т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ветствии с устано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ленными требовани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я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ми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ПП №6 от 17.01.2013 (п. 32, 53, 63, 74), ПП №570 от 05.07.2013 (п. 22) сведения о нал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чии возможности по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д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ключений к сетям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Количество орг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низаций, раскр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ы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вающих информ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цию в соотве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т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ствии с устано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ленными требов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ниями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en-US"/>
              </w:rPr>
              <w:t>ПП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№6 от 17.01.2013 (п. 33, 54,67,68, 75), ПП №570 от 05.07.2013 (п. 26, 27) предл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жение об устано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лении тарифов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Количество организаций, раскрывающих информ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цию в соответствии с установленными треб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ваниями</w:t>
            </w:r>
          </w:p>
          <w:p w:rsidR="00E9656E" w:rsidRPr="009B31CF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ПП №6 от 17.01.2013 (</w:t>
            </w:r>
            <w:r w:rsidRPr="009B31CF">
              <w:rPr>
                <w:rFonts w:ascii="Times New Roman" w:hAnsi="Times New Roman"/>
                <w:bCs/>
                <w:color w:val="000000"/>
                <w:spacing w:val="-20"/>
                <w:sz w:val="20"/>
                <w:szCs w:val="20"/>
                <w:lang w:eastAsia="ru-RU" w:bidi="ru-RU"/>
              </w:rPr>
              <w:t>11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, 34, 55, 76), ПП №570 от 05.07.2013 (п. 33) свед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</w:t>
            </w:r>
            <w:r w:rsidRPr="009B31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ния об организации (ИНН, ОГРН, адрес и т.п.)</w:t>
            </w:r>
          </w:p>
        </w:tc>
      </w:tr>
      <w:tr w:rsidR="00E9656E" w:rsidRPr="00744C77" w:rsidTr="00E9656E">
        <w:trPr>
          <w:trHeight w:hRule="exact" w:val="719"/>
        </w:trPr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%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% от о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б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щего к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% от о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б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щего колич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% от общего количества</w:t>
            </w:r>
          </w:p>
        </w:tc>
      </w:tr>
      <w:tr w:rsidR="00E9656E" w:rsidRPr="00744C77" w:rsidTr="00E9656E">
        <w:trPr>
          <w:trHeight w:hRule="exact" w:val="26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pacing w:val="30"/>
                <w:sz w:val="20"/>
                <w:szCs w:val="20"/>
                <w:lang w:eastAsia="ru-RU" w:bidi="ru-RU"/>
              </w:rPr>
              <w:t>9</w:t>
            </w:r>
          </w:p>
        </w:tc>
      </w:tr>
      <w:tr w:rsidR="00E9656E" w:rsidRPr="00744C77" w:rsidTr="00E9656E">
        <w:trPr>
          <w:trHeight w:hRule="exact" w:val="5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656E" w:rsidRPr="00744C77" w:rsidTr="00E9656E">
        <w:trPr>
          <w:trHeight w:hRule="exact" w:val="7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Горячее вод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о</w:t>
            </w: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656E" w:rsidRPr="00744C77" w:rsidTr="00E9656E">
        <w:trPr>
          <w:trHeight w:hRule="exact" w:val="49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656E" w:rsidRPr="00744C77" w:rsidTr="00E9656E">
        <w:trPr>
          <w:trHeight w:hRule="exact" w:val="4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656E" w:rsidRPr="00744C77" w:rsidTr="00E9656E">
        <w:trPr>
          <w:trHeight w:hRule="exact" w:val="5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Утилизация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6E" w:rsidRPr="00744C77" w:rsidRDefault="00E9656E" w:rsidP="00E9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9656E" w:rsidRPr="00311D41" w:rsidRDefault="00E9656E" w:rsidP="00744C77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311D41" w:rsidRPr="00744C77" w:rsidRDefault="00261DCB" w:rsidP="00311D41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44C77">
        <w:rPr>
          <w:rFonts w:ascii="Times New Roman" w:hAnsi="Times New Roman"/>
          <w:iCs/>
          <w:sz w:val="28"/>
          <w:szCs w:val="28"/>
        </w:rPr>
        <w:t>Реестры субъектов естественных монополий, осуществляющих свою де</w:t>
      </w:r>
      <w:r w:rsidRPr="00744C77">
        <w:rPr>
          <w:rFonts w:ascii="Times New Roman" w:hAnsi="Times New Roman"/>
          <w:iCs/>
          <w:sz w:val="28"/>
          <w:szCs w:val="28"/>
        </w:rPr>
        <w:t>я</w:t>
      </w:r>
      <w:r w:rsidRPr="00744C77">
        <w:rPr>
          <w:rFonts w:ascii="Times New Roman" w:hAnsi="Times New Roman"/>
          <w:iCs/>
          <w:sz w:val="28"/>
          <w:szCs w:val="28"/>
        </w:rPr>
        <w:t xml:space="preserve">тельность на </w:t>
      </w:r>
      <w:r w:rsidR="00744C77" w:rsidRPr="00744C77">
        <w:rPr>
          <w:rFonts w:ascii="Times New Roman" w:hAnsi="Times New Roman"/>
          <w:iCs/>
          <w:sz w:val="28"/>
          <w:szCs w:val="28"/>
        </w:rPr>
        <w:t xml:space="preserve">территории Тимашевского района (приложение №3), </w:t>
      </w:r>
      <w:r w:rsidR="00311D41" w:rsidRPr="00744C77">
        <w:rPr>
          <w:rFonts w:ascii="Times New Roman" w:hAnsi="Times New Roman"/>
          <w:iCs/>
          <w:sz w:val="28"/>
          <w:szCs w:val="28"/>
        </w:rPr>
        <w:t>размещен</w:t>
      </w:r>
      <w:r w:rsidRPr="00744C77">
        <w:rPr>
          <w:rFonts w:ascii="Times New Roman" w:hAnsi="Times New Roman"/>
          <w:iCs/>
          <w:sz w:val="28"/>
          <w:szCs w:val="28"/>
        </w:rPr>
        <w:t>ы</w:t>
      </w:r>
      <w:r w:rsidR="00311D41" w:rsidRPr="00744C77">
        <w:rPr>
          <w:rFonts w:ascii="Times New Roman" w:hAnsi="Times New Roman"/>
          <w:iCs/>
          <w:sz w:val="28"/>
          <w:szCs w:val="28"/>
        </w:rPr>
        <w:t xml:space="preserve"> на</w:t>
      </w:r>
      <w:r w:rsidR="00311D41" w:rsidRPr="00744C77">
        <w:t xml:space="preserve"> </w:t>
      </w:r>
      <w:r w:rsidR="00311D41" w:rsidRPr="00744C77">
        <w:rPr>
          <w:rFonts w:ascii="Times New Roman" w:hAnsi="Times New Roman"/>
          <w:iCs/>
          <w:sz w:val="28"/>
          <w:szCs w:val="28"/>
        </w:rPr>
        <w:t>официальном сайте муниципального образования Тимашевский район www.timregion.ru в разделе «Стандарт развития конкурен</w:t>
      </w:r>
      <w:r w:rsidR="00FC65B8" w:rsidRPr="00744C77">
        <w:rPr>
          <w:rFonts w:ascii="Times New Roman" w:hAnsi="Times New Roman"/>
          <w:iCs/>
          <w:sz w:val="28"/>
          <w:szCs w:val="28"/>
        </w:rPr>
        <w:t>ции»/ «реестр</w:t>
      </w:r>
      <w:r w:rsidR="00311D41" w:rsidRPr="00744C77">
        <w:rPr>
          <w:rFonts w:ascii="Times New Roman" w:hAnsi="Times New Roman"/>
          <w:iCs/>
          <w:sz w:val="28"/>
          <w:szCs w:val="28"/>
        </w:rPr>
        <w:t xml:space="preserve"> </w:t>
      </w:r>
      <w:r w:rsidR="00FC65B8" w:rsidRPr="00744C77">
        <w:rPr>
          <w:rFonts w:ascii="Times New Roman" w:hAnsi="Times New Roman"/>
          <w:iCs/>
          <w:sz w:val="28"/>
          <w:szCs w:val="28"/>
        </w:rPr>
        <w:t>хозя</w:t>
      </w:r>
      <w:r w:rsidR="00FC65B8" w:rsidRPr="00744C77">
        <w:rPr>
          <w:rFonts w:ascii="Times New Roman" w:hAnsi="Times New Roman"/>
          <w:iCs/>
          <w:sz w:val="28"/>
          <w:szCs w:val="28"/>
        </w:rPr>
        <w:t>й</w:t>
      </w:r>
      <w:r w:rsidR="00FC65B8" w:rsidRPr="00744C77">
        <w:rPr>
          <w:rFonts w:ascii="Times New Roman" w:hAnsi="Times New Roman"/>
          <w:iCs/>
          <w:sz w:val="28"/>
          <w:szCs w:val="28"/>
        </w:rPr>
        <w:t>ствующих субъектов</w:t>
      </w:r>
      <w:r w:rsidR="00311D41" w:rsidRPr="00744C77">
        <w:rPr>
          <w:rFonts w:ascii="Times New Roman" w:hAnsi="Times New Roman"/>
          <w:iCs/>
          <w:sz w:val="28"/>
          <w:szCs w:val="28"/>
        </w:rPr>
        <w:t>».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На территории муниципального образования Тимашевский район ос</w:t>
      </w:r>
      <w:r w:rsidRPr="00744C77">
        <w:rPr>
          <w:rFonts w:ascii="Times New Roman" w:eastAsia="Times New Roman" w:hAnsi="Times New Roman"/>
          <w:sz w:val="28"/>
          <w:szCs w:val="28"/>
        </w:rPr>
        <w:t>у</w:t>
      </w:r>
      <w:r w:rsidRPr="00744C77">
        <w:rPr>
          <w:rFonts w:ascii="Times New Roman" w:eastAsia="Times New Roman" w:hAnsi="Times New Roman"/>
          <w:sz w:val="28"/>
          <w:szCs w:val="28"/>
        </w:rPr>
        <w:t>ществляют деятельность 2 предприятия, в уставном капитале которых, доля муниципальной собственности составляет 100%. Это предприятия ООО «Ч</w:t>
      </w:r>
      <w:r w:rsidRPr="00744C77">
        <w:rPr>
          <w:rFonts w:ascii="Times New Roman" w:eastAsia="Times New Roman" w:hAnsi="Times New Roman"/>
          <w:sz w:val="28"/>
          <w:szCs w:val="28"/>
        </w:rPr>
        <w:t>и</w:t>
      </w:r>
      <w:r w:rsidRPr="00744C77">
        <w:rPr>
          <w:rFonts w:ascii="Times New Roman" w:eastAsia="Times New Roman" w:hAnsi="Times New Roman"/>
          <w:sz w:val="28"/>
          <w:szCs w:val="28"/>
        </w:rPr>
        <w:t>стый город», ООО «Партнер». Учредителем этих предприятий является адм</w:t>
      </w:r>
      <w:r w:rsidRPr="00744C77">
        <w:rPr>
          <w:rFonts w:ascii="Times New Roman" w:eastAsia="Times New Roman" w:hAnsi="Times New Roman"/>
          <w:sz w:val="28"/>
          <w:szCs w:val="28"/>
        </w:rPr>
        <w:t>и</w:t>
      </w:r>
      <w:r w:rsidRPr="00744C77">
        <w:rPr>
          <w:rFonts w:ascii="Times New Roman" w:eastAsia="Times New Roman" w:hAnsi="Times New Roman"/>
          <w:sz w:val="28"/>
          <w:szCs w:val="28"/>
        </w:rPr>
        <w:t>нистрация Тимашевского городского поселения.  Основными видами деятел</w:t>
      </w:r>
      <w:r w:rsidRPr="00744C77">
        <w:rPr>
          <w:rFonts w:ascii="Times New Roman" w:eastAsia="Times New Roman" w:hAnsi="Times New Roman"/>
          <w:sz w:val="28"/>
          <w:szCs w:val="28"/>
        </w:rPr>
        <w:t>ь</w:t>
      </w:r>
      <w:r w:rsidRPr="00744C77">
        <w:rPr>
          <w:rFonts w:ascii="Times New Roman" w:eastAsia="Times New Roman" w:hAnsi="Times New Roman"/>
          <w:sz w:val="28"/>
          <w:szCs w:val="28"/>
        </w:rPr>
        <w:t>ности предприятий являются: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- ООО «Чистый город» - удаление сточных вод, отходов и аналогичная деятельность;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- ООО «Партнер»- оказание услуг в сфере водоснабжения.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 xml:space="preserve">Кроме этого в поселениях муниципального образования Тимашевский район осуществляют деятельность 5 муниципальных унитарных предприятий (поселенческих): МУП «Ритуал», МУП ЖКХ «Кубанец», МУП «Поселковое», МУП ЖКХ «Незаймановское», МУП ЖКХ «Универсал плюс». Однако стоит </w:t>
      </w:r>
      <w:r w:rsidRPr="00744C77">
        <w:rPr>
          <w:rFonts w:ascii="Times New Roman" w:eastAsia="Times New Roman" w:hAnsi="Times New Roman"/>
          <w:sz w:val="28"/>
          <w:szCs w:val="28"/>
        </w:rPr>
        <w:lastRenderedPageBreak/>
        <w:t>отметить, что два предприятия МУП ЖКХ «Универсал» и МУП «Тепловые с</w:t>
      </w:r>
      <w:r w:rsidRPr="00744C77">
        <w:rPr>
          <w:rFonts w:ascii="Times New Roman" w:eastAsia="Times New Roman" w:hAnsi="Times New Roman"/>
          <w:sz w:val="28"/>
          <w:szCs w:val="28"/>
        </w:rPr>
        <w:t>е</w:t>
      </w:r>
      <w:r w:rsidRPr="00744C77">
        <w:rPr>
          <w:rFonts w:ascii="Times New Roman" w:eastAsia="Times New Roman" w:hAnsi="Times New Roman"/>
          <w:sz w:val="28"/>
          <w:szCs w:val="28"/>
        </w:rPr>
        <w:t>ти» в настоящее время находятся в процедуре несостоятельности (банкротстве) и деятельность не осуществляют.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В основном муниципальные унитарные предприятия относятся к отрасли ЖКХ  и оказывают услуги по водоснабжению и водоотведению жителей пос</w:t>
      </w:r>
      <w:r w:rsidRPr="00744C77">
        <w:rPr>
          <w:rFonts w:ascii="Times New Roman" w:eastAsia="Times New Roman" w:hAnsi="Times New Roman"/>
          <w:sz w:val="28"/>
          <w:szCs w:val="28"/>
        </w:rPr>
        <w:t>е</w:t>
      </w:r>
      <w:r w:rsidRPr="00744C77">
        <w:rPr>
          <w:rFonts w:ascii="Times New Roman" w:eastAsia="Times New Roman" w:hAnsi="Times New Roman"/>
          <w:sz w:val="28"/>
          <w:szCs w:val="28"/>
        </w:rPr>
        <w:t>лений.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По итогам работы за 9 месяцев 2016 года муниципальными унитарными предприятиями получена выручка в сумме 32,9 млн.руб., за аналогичный пер</w:t>
      </w:r>
      <w:r w:rsidRPr="00744C77">
        <w:rPr>
          <w:rFonts w:ascii="Times New Roman" w:eastAsia="Times New Roman" w:hAnsi="Times New Roman"/>
          <w:sz w:val="28"/>
          <w:szCs w:val="28"/>
        </w:rPr>
        <w:t>и</w:t>
      </w:r>
      <w:r w:rsidRPr="00744C77">
        <w:rPr>
          <w:rFonts w:ascii="Times New Roman" w:eastAsia="Times New Roman" w:hAnsi="Times New Roman"/>
          <w:sz w:val="28"/>
          <w:szCs w:val="28"/>
        </w:rPr>
        <w:t>од 2015 года выручка составила 27,7 млн.рублей.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Муниципальными унитарными предприятиями, расположенными на те</w:t>
      </w:r>
      <w:r w:rsidRPr="00744C77">
        <w:rPr>
          <w:rFonts w:ascii="Times New Roman" w:eastAsia="Times New Roman" w:hAnsi="Times New Roman"/>
          <w:sz w:val="28"/>
          <w:szCs w:val="28"/>
        </w:rPr>
        <w:t>р</w:t>
      </w:r>
      <w:r w:rsidRPr="00744C77">
        <w:rPr>
          <w:rFonts w:ascii="Times New Roman" w:eastAsia="Times New Roman" w:hAnsi="Times New Roman"/>
          <w:sz w:val="28"/>
          <w:szCs w:val="28"/>
        </w:rPr>
        <w:t>ритории Тимашевского района за 9 месяцев 2016 года перечислено налогов и сборов во все уровня бюджета – 5,8 млн.руб. Рост по отношению  к аналоги</w:t>
      </w:r>
      <w:r w:rsidRPr="00744C77">
        <w:rPr>
          <w:rFonts w:ascii="Times New Roman" w:eastAsia="Times New Roman" w:hAnsi="Times New Roman"/>
          <w:sz w:val="28"/>
          <w:szCs w:val="28"/>
        </w:rPr>
        <w:t>ч</w:t>
      </w:r>
      <w:r w:rsidRPr="00744C77">
        <w:rPr>
          <w:rFonts w:ascii="Times New Roman" w:eastAsia="Times New Roman" w:hAnsi="Times New Roman"/>
          <w:sz w:val="28"/>
          <w:szCs w:val="28"/>
        </w:rPr>
        <w:t>ному периоду прошлого года составил 1,5 млн.рублей.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Среднесписочная численность работников всех муниципальных унита</w:t>
      </w:r>
      <w:r w:rsidRPr="00744C77">
        <w:rPr>
          <w:rFonts w:ascii="Times New Roman" w:eastAsia="Times New Roman" w:hAnsi="Times New Roman"/>
          <w:sz w:val="28"/>
          <w:szCs w:val="28"/>
        </w:rPr>
        <w:t>р</w:t>
      </w:r>
      <w:r w:rsidRPr="00744C77">
        <w:rPr>
          <w:rFonts w:ascii="Times New Roman" w:eastAsia="Times New Roman" w:hAnsi="Times New Roman"/>
          <w:sz w:val="28"/>
          <w:szCs w:val="28"/>
        </w:rPr>
        <w:t>ных предприятий составляет чуть более 90 человек, количество работающих на протяжении последних трех лет практически не меняется.</w:t>
      </w:r>
    </w:p>
    <w:p w:rsidR="002833D6" w:rsidRPr="00744C77" w:rsidRDefault="002833D6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В 2016 году в соответствии с программой приватизации муниципального имущества муниципального образования Тимашевский район   администрацией муниципального образования Тимашевский район в марте 2016 года был реал</w:t>
      </w:r>
      <w:r w:rsidRPr="00744C77">
        <w:rPr>
          <w:rFonts w:ascii="Times New Roman" w:eastAsia="Times New Roman" w:hAnsi="Times New Roman"/>
          <w:sz w:val="28"/>
          <w:szCs w:val="28"/>
        </w:rPr>
        <w:t>и</w:t>
      </w:r>
      <w:r w:rsidRPr="00744C77">
        <w:rPr>
          <w:rFonts w:ascii="Times New Roman" w:eastAsia="Times New Roman" w:hAnsi="Times New Roman"/>
          <w:sz w:val="28"/>
          <w:szCs w:val="28"/>
        </w:rPr>
        <w:t xml:space="preserve">зован пакет акций АО «Тимашевскрайгаз» на сумму 3256,8 тыс.руб. </w:t>
      </w:r>
    </w:p>
    <w:p w:rsidR="00BF41FB" w:rsidRPr="00744C77" w:rsidRDefault="002833D6" w:rsidP="00BF4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</w:rPr>
        <w:t>Приватизация муниципальных унитарных предприятий, осуществляющих деятельность на территории муниципального образования Тимашевский район, а также пакетов акций акционерных обществ на 2017 год не планируется.</w:t>
      </w:r>
    </w:p>
    <w:p w:rsidR="007C031A" w:rsidRPr="00BF41FB" w:rsidRDefault="00BF41FB" w:rsidP="00283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Реестр хозяйствующих субъектов, доля участия муниципального образ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вания в которых составляет 50% и более, с обозначением рынка их присутствия приводится в приложении к отчету (приложение 4). Данная информация ра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мещена на официальном сайте администрации муниципального образования Тимашевский район, в разделе Стандарт развития конкуренции/ Реестр хозя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44C77">
        <w:rPr>
          <w:rFonts w:ascii="Times New Roman" w:eastAsia="Times New Roman" w:hAnsi="Times New Roman"/>
          <w:sz w:val="28"/>
          <w:szCs w:val="28"/>
          <w:lang w:eastAsia="ru-RU"/>
        </w:rPr>
        <w:t>ствующих субъектов (http://www.timregion.ru/razkon/reestrhozsub)</w:t>
      </w:r>
    </w:p>
    <w:p w:rsidR="00A8121C" w:rsidRDefault="00A8121C" w:rsidP="00A8121C">
      <w:pPr>
        <w:spacing w:before="120" w:after="120" w:line="276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8121C">
        <w:rPr>
          <w:rFonts w:ascii="Times New Roman" w:hAnsi="Times New Roman"/>
          <w:b/>
          <w:bCs/>
          <w:sz w:val="28"/>
          <w:szCs w:val="28"/>
        </w:rPr>
        <w:t>Раздел 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3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Повышение уровня информированности субъектов пре</w:t>
      </w:r>
      <w:r w:rsidRPr="00A93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Pr="00A93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деятельности по содействию развитию конкуренции</w:t>
      </w:r>
    </w:p>
    <w:p w:rsidR="002E1AAD" w:rsidRDefault="0055053B" w:rsidP="00CB60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2016 году администрацией муниципального образования Тимашевский район</w:t>
      </w:r>
      <w:r w:rsidRPr="0055053B">
        <w:rPr>
          <w:rFonts w:ascii="Times New Roman" w:hAnsi="Times New Roman"/>
          <w:bCs/>
          <w:sz w:val="28"/>
          <w:szCs w:val="28"/>
        </w:rPr>
        <w:t xml:space="preserve"> </w:t>
      </w:r>
      <w:r w:rsidRPr="00237110">
        <w:rPr>
          <w:rFonts w:ascii="Times New Roman" w:hAnsi="Times New Roman"/>
          <w:bCs/>
          <w:sz w:val="28"/>
          <w:szCs w:val="28"/>
        </w:rPr>
        <w:t>для представителей малого и среднего бизнеса и потребителей товаров и услуг</w:t>
      </w:r>
      <w:r w:rsidR="002E1AAD">
        <w:rPr>
          <w:rFonts w:ascii="Times New Roman" w:hAnsi="Times New Roman"/>
          <w:bCs/>
          <w:sz w:val="28"/>
          <w:szCs w:val="28"/>
        </w:rPr>
        <w:t xml:space="preserve"> 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>проведена</w:t>
      </w:r>
      <w:r w:rsid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>активная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информационно-консульта</w:t>
      </w:r>
      <w:r w:rsidR="002E1AAD">
        <w:rPr>
          <w:rFonts w:ascii="Times New Roman" w:eastAsia="Times New Roman" w:hAnsi="Times New Roman"/>
          <w:sz w:val="28"/>
          <w:szCs w:val="28"/>
          <w:lang w:val="x-none" w:eastAsia="x-none"/>
        </w:rPr>
        <w:t>ционная работа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>:</w:t>
      </w:r>
    </w:p>
    <w:p w:rsidR="002E1AAD" w:rsidRDefault="002E1AAD" w:rsidP="00CB60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- </w:t>
      </w:r>
      <w:r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проведено </w:t>
      </w:r>
      <w:r w:rsidRPr="002E1AAD">
        <w:rPr>
          <w:rFonts w:ascii="Times New Roman" w:eastAsia="Times New Roman" w:hAnsi="Times New Roman"/>
          <w:sz w:val="28"/>
          <w:szCs w:val="28"/>
          <w:lang w:eastAsia="x-none"/>
        </w:rPr>
        <w:t>11</w:t>
      </w:r>
      <w:r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совещаний по проблемам предпринимательства (присутствовало более </w:t>
      </w:r>
      <w:r w:rsidRPr="002E1AAD">
        <w:rPr>
          <w:rFonts w:ascii="Times New Roman" w:eastAsia="Times New Roman" w:hAnsi="Times New Roman"/>
          <w:sz w:val="28"/>
          <w:szCs w:val="28"/>
          <w:lang w:eastAsia="x-none"/>
        </w:rPr>
        <w:t>260</w:t>
      </w:r>
      <w:r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субъектов малого и среднего бизнеса.</w:t>
      </w:r>
      <w:proofErr w:type="gramEnd"/>
      <w:r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Рассмотрены проблемные вопросы кредитования малого и среднего бизнеса, а также вопросы изменения налогового, пенсионного законодательства и финансовой поддержки предпринимателей; </w:t>
      </w:r>
    </w:p>
    <w:p w:rsidR="002E1AAD" w:rsidRPr="002E1AAD" w:rsidRDefault="002E1AAD" w:rsidP="00CB60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11 семинаров (</w:t>
      </w:r>
      <w:proofErr w:type="spellStart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агроучеб</w:t>
      </w:r>
      <w:proofErr w:type="spellEnd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</w:t>
      </w:r>
      <w:proofErr w:type="spellStart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, в том числе глав КФХ, субъектов малого бизнеса (приняли участие более 650 ч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ловек). Рассмотрены вопросы о новой сортовой политике озимой пшеницы, о тритикале, о новых сортах озимого ячменя, а так же минеральном питании оз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мых, о прогнозе фитосанитарной обстановки на озимом поле, о пути повыш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ния репродуктивной функции КРС в хозяйствах Краснодарского края, о биол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гической защите почвы, семян и растений, об изменении законодательства в налоговой и пенсионной сферах, об оказании финансовой поддержки субъектам малого и среднего предпринимательства, о мерах поддержки народных худож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ственных промыслов и ремесленной деятельности, о современных технологиях на предприятиях общественного питания, об охране труда на предприятии и пр.;</w:t>
      </w:r>
    </w:p>
    <w:p w:rsidR="002E1AAD" w:rsidRPr="002E1AAD" w:rsidRDefault="00CB6075" w:rsidP="00CB6075">
      <w:pPr>
        <w:keepNext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субъекты малого бизнеса Тимашевского района (ИП глава КФХ Венедиктов Э.В., ИП </w:t>
      </w:r>
      <w:proofErr w:type="spellStart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>Ковба</w:t>
      </w:r>
      <w:proofErr w:type="spellEnd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С.А.</w:t>
      </w:r>
      <w:r w:rsidR="00F00F0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ИП глава КФХ Плотников С.М., 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ИП </w:t>
      </w:r>
      <w:proofErr w:type="spellStart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>Кропивка</w:t>
      </w:r>
      <w:proofErr w:type="spellEnd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Н.В., ИП </w:t>
      </w:r>
      <w:proofErr w:type="spellStart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>Чапля</w:t>
      </w:r>
      <w:proofErr w:type="spellEnd"/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Э.В.)</w:t>
      </w:r>
      <w:r w:rsid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каждую субботу принима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>ли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участие в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 xml:space="preserve"> краевых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ярмарках для сельхозпроизводителей, ко</w:t>
      </w:r>
      <w:r w:rsidR="002E1AAD">
        <w:rPr>
          <w:rFonts w:ascii="Times New Roman" w:eastAsia="Times New Roman" w:hAnsi="Times New Roman"/>
          <w:sz w:val="28"/>
          <w:szCs w:val="28"/>
          <w:lang w:val="x-none" w:eastAsia="x-none"/>
        </w:rPr>
        <w:t>торые пр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>оходили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г. Краснодар</w:t>
      </w:r>
      <w:r w:rsidR="002E1AAD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2E1AAD" w:rsidRPr="002E1AA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2E1AAD" w:rsidRPr="002E1AAD" w:rsidRDefault="002E1AAD" w:rsidP="00CB607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- проведено 12 финансовых ярмарок, в которых приняли участие более 400 субъектов малого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E1AAD" w:rsidRPr="002E1AAD" w:rsidRDefault="002E1AAD" w:rsidP="002E1AAD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опубликовано 70 статей в районных газетах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вопросам развития м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лого и среднего предпринимательства;</w:t>
      </w:r>
    </w:p>
    <w:p w:rsidR="002E1AAD" w:rsidRPr="002E1AAD" w:rsidRDefault="002E1AAD" w:rsidP="002E1AAD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- сделано 9 теле-, радиорепортажей (Телекомпания «Тимашевское тел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видение ТТВ», «Кубань-24», «Русское радио») по вопросам развития малого и среднего предпринимательства;</w:t>
      </w:r>
    </w:p>
    <w:p w:rsidR="002E1AAD" w:rsidRPr="002E1AAD" w:rsidRDefault="002E1AAD" w:rsidP="002E1AAD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- размещено на официальном сайте муниципального образования Тим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шевский район </w:t>
      </w:r>
      <w:r w:rsidRPr="002E1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http://www.timregion.ru и http://invest-timregion.ru 105 публик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ций по вопросам развития малого и среднего предпринимательства;</w:t>
      </w:r>
    </w:p>
    <w:p w:rsidR="002E1AAD" w:rsidRDefault="002E1AAD" w:rsidP="002E1AAD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- в МФЦ размещены информационный бюллетень, </w:t>
      </w:r>
      <w:proofErr w:type="spellStart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флаеры</w:t>
      </w:r>
      <w:proofErr w:type="spellEnd"/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финанс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E1AAD">
        <w:rPr>
          <w:rFonts w:ascii="Times New Roman" w:eastAsia="Times New Roman" w:hAnsi="Times New Roman"/>
          <w:sz w:val="28"/>
          <w:szCs w:val="28"/>
          <w:lang w:eastAsia="ru-RU"/>
        </w:rPr>
        <w:t>вой поддержке малого и среднего предпринимательства.</w:t>
      </w:r>
    </w:p>
    <w:p w:rsidR="00BF570C" w:rsidRPr="00BF570C" w:rsidRDefault="00871697" w:rsidP="00BF570C">
      <w:pPr>
        <w:keepNext/>
        <w:tabs>
          <w:tab w:val="left" w:pos="74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 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01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ду в администрацию муниципального образования Тимаше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ский район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поступило 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88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обращени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от граждан и предпринимателей по вопросам открытия и ведения предпринимательской деятельности, из них:   </w:t>
      </w:r>
    </w:p>
    <w:p w:rsidR="00BF570C" w:rsidRPr="00BF570C" w:rsidRDefault="00871697" w:rsidP="00BF570C">
      <w:pPr>
        <w:keepNext/>
        <w:tabs>
          <w:tab w:val="left" w:pos="74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-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через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proofErr w:type="spellStart"/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щик</w:t>
      </w:r>
      <w:proofErr w:type="spellEnd"/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доверия» - 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обращени</w:t>
      </w:r>
      <w:r w:rsidR="00BF570C" w:rsidRPr="00BF570C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 вопросам ведения предприн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мательской деятельности, изменения требований налогового, пенсионного, з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мельного законодательства, </w:t>
      </w:r>
      <w:r w:rsidR="00BF570C"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процедуре регистрации 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т.д.</w:t>
      </w:r>
    </w:p>
    <w:p w:rsidR="00BF570C" w:rsidRPr="00BF570C" w:rsidRDefault="00BF570C" w:rsidP="00BF570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 «Устные обращения» - </w:t>
      </w:r>
      <w:r w:rsidRPr="00BF570C">
        <w:rPr>
          <w:rFonts w:ascii="Times New Roman" w:eastAsia="Times New Roman" w:hAnsi="Times New Roman"/>
          <w:sz w:val="28"/>
          <w:szCs w:val="28"/>
          <w:lang w:eastAsia="x-none"/>
        </w:rPr>
        <w:t>50</w:t>
      </w: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обращений по вопросам оказания муниципальной и государственной поддержки субъектам малого предпринимательства; по  заполнению отчетности получателями субсидий - субъектами малого бизнеса; по организации предпринимательской деятельности и другие вопросы.</w:t>
      </w:r>
    </w:p>
    <w:p w:rsidR="00BF570C" w:rsidRPr="00BF570C" w:rsidRDefault="00BF570C" w:rsidP="00BF570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</w:t>
      </w:r>
      <w:r w:rsidR="00871697">
        <w:rPr>
          <w:rFonts w:ascii="Times New Roman" w:eastAsia="Times New Roman" w:hAnsi="Times New Roman"/>
          <w:sz w:val="28"/>
          <w:szCs w:val="28"/>
          <w:lang w:eastAsia="x-none"/>
        </w:rPr>
        <w:t>через т</w:t>
      </w:r>
      <w:proofErr w:type="spellStart"/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елефон</w:t>
      </w:r>
      <w:proofErr w:type="spellEnd"/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«горячей линии» - </w:t>
      </w:r>
      <w:r w:rsidRPr="00BF570C">
        <w:rPr>
          <w:rFonts w:ascii="Times New Roman" w:eastAsia="Times New Roman" w:hAnsi="Times New Roman"/>
          <w:sz w:val="28"/>
          <w:szCs w:val="28"/>
          <w:lang w:eastAsia="x-none"/>
        </w:rPr>
        <w:t xml:space="preserve">31 </w:t>
      </w: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обращени</w:t>
      </w:r>
      <w:r w:rsidRPr="00BF570C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вопросам оказания муниципальной и государственной поддержки субъектам малого предпринимательства.</w:t>
      </w:r>
    </w:p>
    <w:p w:rsidR="00BF570C" w:rsidRPr="00BF570C" w:rsidRDefault="00BF570C" w:rsidP="00BF570C">
      <w:pPr>
        <w:keepNext/>
        <w:tabs>
          <w:tab w:val="left" w:pos="74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>Все обращения регистрируются в журнале регистрации обращений субъектов малого и среднего предпринимательства. На все вопросы даны</w:t>
      </w:r>
      <w:r w:rsidR="00871697">
        <w:rPr>
          <w:rFonts w:ascii="Times New Roman" w:eastAsia="Times New Roman" w:hAnsi="Times New Roman"/>
          <w:sz w:val="28"/>
          <w:szCs w:val="28"/>
          <w:lang w:eastAsia="x-none"/>
        </w:rPr>
        <w:t xml:space="preserve"> ко</w:t>
      </w:r>
      <w:r w:rsidR="00871697"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="00871697">
        <w:rPr>
          <w:rFonts w:ascii="Times New Roman" w:eastAsia="Times New Roman" w:hAnsi="Times New Roman"/>
          <w:sz w:val="28"/>
          <w:szCs w:val="28"/>
          <w:lang w:eastAsia="x-none"/>
        </w:rPr>
        <w:t xml:space="preserve">сультации и </w:t>
      </w:r>
      <w:r w:rsidRPr="00BF570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разъяснения. </w:t>
      </w:r>
    </w:p>
    <w:p w:rsidR="00F7106F" w:rsidRPr="00CB6075" w:rsidRDefault="00F7106F" w:rsidP="00F7106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 xml:space="preserve">В муниципальном образовании </w:t>
      </w:r>
      <w:proofErr w:type="spellStart"/>
      <w:r w:rsidRPr="00CB6075">
        <w:rPr>
          <w:rFonts w:ascii="Times New Roman" w:eastAsiaTheme="minorHAnsi" w:hAnsi="Times New Roman"/>
          <w:sz w:val="28"/>
          <w:szCs w:val="28"/>
        </w:rPr>
        <w:t>Тимашевский</w:t>
      </w:r>
      <w:proofErr w:type="spellEnd"/>
      <w:r w:rsidRPr="00CB6075">
        <w:rPr>
          <w:rFonts w:ascii="Times New Roman" w:eastAsiaTheme="minorHAnsi" w:hAnsi="Times New Roman"/>
          <w:sz w:val="28"/>
          <w:szCs w:val="28"/>
        </w:rPr>
        <w:t xml:space="preserve"> район создан и функцион</w:t>
      </w:r>
      <w:r w:rsidRPr="00CB6075">
        <w:rPr>
          <w:rFonts w:ascii="Times New Roman" w:eastAsiaTheme="minorHAnsi" w:hAnsi="Times New Roman"/>
          <w:sz w:val="28"/>
          <w:szCs w:val="28"/>
        </w:rPr>
        <w:t>и</w:t>
      </w:r>
      <w:r w:rsidRPr="00CB6075">
        <w:rPr>
          <w:rFonts w:ascii="Times New Roman" w:eastAsiaTheme="minorHAnsi" w:hAnsi="Times New Roman"/>
          <w:sz w:val="28"/>
          <w:szCs w:val="28"/>
        </w:rPr>
        <w:t>рует отдельный специализированный интернет-портал инвестиционной де</w:t>
      </w:r>
      <w:r w:rsidRPr="00CB6075">
        <w:rPr>
          <w:rFonts w:ascii="Times New Roman" w:eastAsiaTheme="minorHAnsi" w:hAnsi="Times New Roman"/>
          <w:sz w:val="28"/>
          <w:szCs w:val="28"/>
        </w:rPr>
        <w:t>я</w:t>
      </w:r>
      <w:r w:rsidRPr="00CB6075">
        <w:rPr>
          <w:rFonts w:ascii="Times New Roman" w:eastAsiaTheme="minorHAnsi" w:hAnsi="Times New Roman"/>
          <w:sz w:val="28"/>
          <w:szCs w:val="28"/>
        </w:rPr>
        <w:t>тельности, который размещен по адресу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: </w:t>
      </w:r>
      <w:hyperlink r:id="rId70" w:history="1"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invest</w:t>
        </w:r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timregion</w:t>
        </w:r>
        <w:proofErr w:type="spellEnd"/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CB6075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60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106F" w:rsidRPr="00CB6075" w:rsidRDefault="00F7106F" w:rsidP="00F7106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lastRenderedPageBreak/>
        <w:t>Интернет ресурс обеспечивает наглядное представление инвестиционных возможностей муниципального образования, основных направлений привлеч</w:t>
      </w:r>
      <w:r w:rsidRPr="00CB6075">
        <w:rPr>
          <w:rFonts w:ascii="Times New Roman" w:eastAsiaTheme="minorHAnsi" w:hAnsi="Times New Roman"/>
          <w:sz w:val="28"/>
          <w:szCs w:val="28"/>
        </w:rPr>
        <w:t>е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ния инвестиций в экономику и инфраструктуру муниципального образования Тимашевский район, содержит детальную информацию об инвестиционных проектах, о мерах поддержки, на которые могут рассчитывать </w:t>
      </w:r>
      <w:proofErr w:type="spellStart"/>
      <w:r w:rsidRPr="00CB6075">
        <w:rPr>
          <w:rFonts w:ascii="Times New Roman" w:eastAsiaTheme="minorHAnsi" w:hAnsi="Times New Roman"/>
          <w:sz w:val="28"/>
          <w:szCs w:val="28"/>
        </w:rPr>
        <w:t>инвесторы</w:t>
      </w:r>
      <w:proofErr w:type="gramStart"/>
      <w:r w:rsidRPr="00CB6075">
        <w:rPr>
          <w:rFonts w:ascii="Times New Roman" w:eastAsiaTheme="minorHAnsi" w:hAnsi="Times New Roman"/>
          <w:sz w:val="28"/>
          <w:szCs w:val="28"/>
        </w:rPr>
        <w:t>,ч</w:t>
      </w:r>
      <w:proofErr w:type="gramEnd"/>
      <w:r w:rsidRPr="00CB6075">
        <w:rPr>
          <w:rFonts w:ascii="Times New Roman" w:eastAsiaTheme="minorHAnsi" w:hAnsi="Times New Roman"/>
          <w:sz w:val="28"/>
          <w:szCs w:val="28"/>
        </w:rPr>
        <w:t>то</w:t>
      </w:r>
      <w:proofErr w:type="spellEnd"/>
      <w:r w:rsidRPr="00CB6075">
        <w:rPr>
          <w:rFonts w:ascii="Times New Roman" w:eastAsiaTheme="minorHAnsi" w:hAnsi="Times New Roman"/>
          <w:sz w:val="28"/>
          <w:szCs w:val="28"/>
        </w:rPr>
        <w:t xml:space="preserve"> также способствует развитию  и совершенствованию конкуренции на террит</w:t>
      </w:r>
      <w:r w:rsidRPr="00CB6075">
        <w:rPr>
          <w:rFonts w:ascii="Times New Roman" w:eastAsiaTheme="minorHAnsi" w:hAnsi="Times New Roman"/>
          <w:sz w:val="28"/>
          <w:szCs w:val="28"/>
        </w:rPr>
        <w:t>о</w:t>
      </w:r>
      <w:r w:rsidRPr="00CB6075">
        <w:rPr>
          <w:rFonts w:ascii="Times New Roman" w:eastAsiaTheme="minorHAnsi" w:hAnsi="Times New Roman"/>
          <w:sz w:val="28"/>
          <w:szCs w:val="28"/>
        </w:rPr>
        <w:t>рии района. Информационные материалы регулярно актуализируются: ежен</w:t>
      </w:r>
      <w:r w:rsidRPr="00CB6075">
        <w:rPr>
          <w:rFonts w:ascii="Times New Roman" w:eastAsiaTheme="minorHAnsi" w:hAnsi="Times New Roman"/>
          <w:sz w:val="28"/>
          <w:szCs w:val="28"/>
        </w:rPr>
        <w:t>е</w:t>
      </w:r>
      <w:r w:rsidRPr="00CB6075">
        <w:rPr>
          <w:rFonts w:ascii="Times New Roman" w:eastAsiaTheme="minorHAnsi" w:hAnsi="Times New Roman"/>
          <w:sz w:val="28"/>
          <w:szCs w:val="28"/>
        </w:rPr>
        <w:t>дельно проводится информационное наполнение Инвестиционного портала в разделе «Новости» (федеральные, краевые, муниципальные, анонсы).</w:t>
      </w:r>
    </w:p>
    <w:p w:rsidR="00084EA6" w:rsidRPr="00CB6075" w:rsidRDefault="00BF570C" w:rsidP="00F7106F">
      <w:pPr>
        <w:keepNext/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>На инвестиционном портале Тимашевского района</w:t>
      </w:r>
      <w:r w:rsidR="00871697" w:rsidRPr="00CB607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>создан</w:t>
      </w:r>
      <w:r w:rsidRPr="00CB607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>раздел «В помощь предпринимателю»</w:t>
      </w:r>
      <w:r w:rsidRPr="00CB607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hyperlink r:id="rId71" w:history="1">
        <w:r w:rsidRPr="00CB6075">
          <w:rPr>
            <w:rFonts w:ascii="Times New Roman" w:eastAsia="Times New Roman" w:hAnsi="Times New Roman"/>
            <w:sz w:val="28"/>
            <w:szCs w:val="28"/>
            <w:u w:val="single"/>
            <w:lang w:val="x-none" w:eastAsia="x-none"/>
          </w:rPr>
          <w:t>http://invest-timregion.ru/ru/v-pom-predprin/</w:t>
        </w:r>
      </w:hyperlink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1697" w:rsidRPr="00CB6075">
        <w:rPr>
          <w:rFonts w:ascii="Times New Roman" w:eastAsia="Times New Roman" w:hAnsi="Times New Roman"/>
          <w:sz w:val="28"/>
          <w:szCs w:val="28"/>
          <w:lang w:eastAsia="x-none"/>
        </w:rPr>
        <w:t>, где размещаются информационные материалы касающиеся развития малого и среднего предпринимательства, нормативные и законодательные документы, новостная информация</w:t>
      </w: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F7106F" w:rsidRPr="00CB6075">
        <w:rPr>
          <w:rFonts w:ascii="Times New Roman" w:eastAsia="Times New Roman" w:hAnsi="Times New Roman"/>
          <w:sz w:val="28"/>
          <w:szCs w:val="28"/>
          <w:lang w:eastAsia="x-none"/>
        </w:rPr>
        <w:t>Данный раздел</w:t>
      </w:r>
      <w:r w:rsidR="00871697" w:rsidRPr="00CB607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B6075">
        <w:rPr>
          <w:rFonts w:ascii="Times New Roman" w:eastAsia="Times New Roman" w:hAnsi="Times New Roman"/>
          <w:sz w:val="28"/>
          <w:szCs w:val="28"/>
          <w:lang w:eastAsia="x-none"/>
        </w:rPr>
        <w:t>постоян</w:t>
      </w:r>
      <w:r w:rsidR="00F7106F" w:rsidRPr="00CB6075">
        <w:rPr>
          <w:rFonts w:ascii="Times New Roman" w:eastAsia="Times New Roman" w:hAnsi="Times New Roman"/>
          <w:sz w:val="28"/>
          <w:szCs w:val="28"/>
          <w:lang w:eastAsia="x-none"/>
        </w:rPr>
        <w:t xml:space="preserve">но </w:t>
      </w:r>
      <w:r w:rsidRPr="00CB6075">
        <w:rPr>
          <w:rFonts w:ascii="Times New Roman" w:eastAsia="Times New Roman" w:hAnsi="Times New Roman"/>
          <w:sz w:val="28"/>
          <w:szCs w:val="28"/>
          <w:lang w:eastAsia="x-none"/>
        </w:rPr>
        <w:t>актуализируется.</w:t>
      </w:r>
      <w:r w:rsidRPr="00CB60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5D3D38" w:rsidRPr="00CB6075" w:rsidRDefault="005D3D38" w:rsidP="0064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>В 2016 году в рамках мероприятий по развитию рынка услуг сферы ЖКХ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CB6075">
        <w:rPr>
          <w:rFonts w:ascii="Times New Roman" w:eastAsiaTheme="minorHAnsi" w:hAnsi="Times New Roman"/>
          <w:sz w:val="28"/>
          <w:szCs w:val="28"/>
        </w:rPr>
        <w:t>проводилась активная работа по решению проблемных вопросов по обеспеч</w:t>
      </w:r>
      <w:r w:rsidRPr="00CB6075">
        <w:rPr>
          <w:rFonts w:ascii="Times New Roman" w:eastAsiaTheme="minorHAnsi" w:hAnsi="Times New Roman"/>
          <w:sz w:val="28"/>
          <w:szCs w:val="28"/>
        </w:rPr>
        <w:t>е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нию работами, услугами ЖКХ хозяйствующих субъектов и жителей района. </w:t>
      </w:r>
    </w:p>
    <w:p w:rsidR="005D3D38" w:rsidRPr="00CB6075" w:rsidRDefault="005D3D38" w:rsidP="0064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>На 3-х заседаниях общественного Совета при главе муниципального о</w:t>
      </w:r>
      <w:r w:rsidRPr="00CB6075">
        <w:rPr>
          <w:rFonts w:ascii="Times New Roman" w:eastAsiaTheme="minorHAnsi" w:hAnsi="Times New Roman"/>
          <w:sz w:val="28"/>
          <w:szCs w:val="28"/>
        </w:rPr>
        <w:t>б</w:t>
      </w:r>
      <w:r w:rsidRPr="00CB6075">
        <w:rPr>
          <w:rFonts w:ascii="Times New Roman" w:eastAsiaTheme="minorHAnsi" w:hAnsi="Times New Roman"/>
          <w:sz w:val="28"/>
          <w:szCs w:val="28"/>
        </w:rPr>
        <w:t>разования Тимашевский район рассматривались актуальные и проблемные в</w:t>
      </w:r>
      <w:r w:rsidRPr="00CB6075">
        <w:rPr>
          <w:rFonts w:ascii="Times New Roman" w:eastAsiaTheme="minorHAnsi" w:hAnsi="Times New Roman"/>
          <w:sz w:val="28"/>
          <w:szCs w:val="28"/>
        </w:rPr>
        <w:t>о</w:t>
      </w:r>
      <w:r w:rsidRPr="00CB6075">
        <w:rPr>
          <w:rFonts w:ascii="Times New Roman" w:eastAsiaTheme="minorHAnsi" w:hAnsi="Times New Roman"/>
          <w:sz w:val="28"/>
          <w:szCs w:val="28"/>
        </w:rPr>
        <w:t>просы теплоснабжения, водоснабжения, газификации, электроснабжения.</w:t>
      </w:r>
    </w:p>
    <w:p w:rsidR="005D3D38" w:rsidRPr="00CB6075" w:rsidRDefault="005D3D38" w:rsidP="00F71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CB6075">
        <w:rPr>
          <w:rFonts w:ascii="Times New Roman" w:eastAsiaTheme="minorHAnsi" w:hAnsi="Times New Roman"/>
          <w:sz w:val="28"/>
          <w:szCs w:val="28"/>
        </w:rPr>
        <w:t>В каждом поселении функционируют общественные Советы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CB6075">
        <w:rPr>
          <w:rFonts w:ascii="Times New Roman" w:eastAsiaTheme="minorHAnsi" w:hAnsi="Times New Roman"/>
          <w:sz w:val="28"/>
          <w:szCs w:val="28"/>
        </w:rPr>
        <w:t>о вопросам ЖКХ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,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 на которых рассматриваются проблемные вопросы,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B6075">
        <w:rPr>
          <w:rFonts w:ascii="Times New Roman" w:eastAsiaTheme="minorHAnsi" w:hAnsi="Times New Roman"/>
          <w:sz w:val="28"/>
          <w:szCs w:val="28"/>
        </w:rPr>
        <w:t>определяются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 xml:space="preserve"> осно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в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ные направления и мероприятия по повышению уровня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 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 xml:space="preserve"> надежности функци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о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нирования систем теплоснабжения и электроснабжения на территорий посел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е</w:t>
      </w:r>
      <w:r w:rsidR="00325234" w:rsidRPr="00CB6075">
        <w:rPr>
          <w:rFonts w:ascii="Times New Roman" w:eastAsiaTheme="minorHAnsi" w:hAnsi="Times New Roman"/>
          <w:sz w:val="28"/>
          <w:szCs w:val="28"/>
        </w:rPr>
        <w:t>ний, особенно в отдаленных сельских населенных пунктах.</w:t>
      </w:r>
      <w:proofErr w:type="gramEnd"/>
      <w:r w:rsidR="00325234" w:rsidRPr="00CB6075">
        <w:rPr>
          <w:rFonts w:ascii="Times New Roman" w:eastAsiaTheme="minorHAnsi" w:hAnsi="Times New Roman"/>
          <w:sz w:val="28"/>
          <w:szCs w:val="28"/>
        </w:rPr>
        <w:t xml:space="preserve"> Поведено порядка 14 заседаний таких Советов в каждом поселении.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25234" w:rsidRPr="00CB6075" w:rsidRDefault="00325234" w:rsidP="003252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>В 2016 году главами поселений проведено 27 рабочих встреч с предст</w:t>
      </w:r>
      <w:r w:rsidRPr="00CB6075">
        <w:rPr>
          <w:rFonts w:ascii="Times New Roman" w:eastAsiaTheme="minorHAnsi" w:hAnsi="Times New Roman"/>
          <w:sz w:val="28"/>
          <w:szCs w:val="28"/>
        </w:rPr>
        <w:t>а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вителями сетевых </w:t>
      </w:r>
      <w:r w:rsidR="00645D8C" w:rsidRPr="00CB6075">
        <w:rPr>
          <w:rFonts w:ascii="Times New Roman" w:eastAsiaTheme="minorHAnsi" w:hAnsi="Times New Roman"/>
          <w:sz w:val="28"/>
          <w:szCs w:val="28"/>
        </w:rPr>
        <w:t>ресурс снабжающих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 организаций (субъектов естественных монополий) по отдельным вопросам, касающимся сферы ЖКХ. Также были о</w:t>
      </w:r>
      <w:r w:rsidRPr="00CB6075">
        <w:rPr>
          <w:rFonts w:ascii="Times New Roman" w:eastAsiaTheme="minorHAnsi" w:hAnsi="Times New Roman"/>
          <w:sz w:val="28"/>
          <w:szCs w:val="28"/>
        </w:rPr>
        <w:t>р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ганизованы 18 встреч (сходов) граждан отдельных </w:t>
      </w:r>
      <w:proofErr w:type="spellStart"/>
      <w:r w:rsidRPr="00CB6075">
        <w:rPr>
          <w:rFonts w:ascii="Times New Roman" w:eastAsiaTheme="minorHAnsi" w:hAnsi="Times New Roman"/>
          <w:sz w:val="28"/>
          <w:szCs w:val="28"/>
        </w:rPr>
        <w:t>ТОСов</w:t>
      </w:r>
      <w:proofErr w:type="spellEnd"/>
      <w:r w:rsidRPr="00CB6075">
        <w:rPr>
          <w:rFonts w:ascii="Times New Roman" w:eastAsiaTheme="minorHAnsi" w:hAnsi="Times New Roman"/>
          <w:sz w:val="28"/>
          <w:szCs w:val="28"/>
        </w:rPr>
        <w:t xml:space="preserve"> в поселениях, на к</w:t>
      </w:r>
      <w:r w:rsidRPr="00CB6075">
        <w:rPr>
          <w:rFonts w:ascii="Times New Roman" w:eastAsiaTheme="minorHAnsi" w:hAnsi="Times New Roman"/>
          <w:sz w:val="28"/>
          <w:szCs w:val="28"/>
        </w:rPr>
        <w:t>о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торых совместно с представителями сетевых </w:t>
      </w:r>
      <w:r w:rsidR="00645D8C" w:rsidRPr="00CB6075">
        <w:rPr>
          <w:rFonts w:ascii="Times New Roman" w:eastAsiaTheme="minorHAnsi" w:hAnsi="Times New Roman"/>
          <w:sz w:val="28"/>
          <w:szCs w:val="28"/>
        </w:rPr>
        <w:t>ресурс снабжающих</w:t>
      </w:r>
      <w:r w:rsidRPr="00CB6075">
        <w:rPr>
          <w:rFonts w:ascii="Times New Roman" w:eastAsiaTheme="minorHAnsi" w:hAnsi="Times New Roman"/>
          <w:sz w:val="28"/>
          <w:szCs w:val="28"/>
        </w:rPr>
        <w:t xml:space="preserve"> организаций решались проблемные вопросы работы систем </w:t>
      </w:r>
      <w:r w:rsidR="00645D8C" w:rsidRPr="00CB6075">
        <w:rPr>
          <w:rFonts w:ascii="Times New Roman" w:eastAsiaTheme="minorHAnsi" w:hAnsi="Times New Roman"/>
          <w:sz w:val="28"/>
          <w:szCs w:val="28"/>
        </w:rPr>
        <w:t>ресурс снабжения</w:t>
      </w:r>
      <w:r w:rsidRPr="00CB6075">
        <w:rPr>
          <w:rFonts w:ascii="Times New Roman" w:eastAsiaTheme="minorHAnsi" w:hAnsi="Times New Roman"/>
          <w:sz w:val="28"/>
          <w:szCs w:val="28"/>
        </w:rPr>
        <w:t>.</w:t>
      </w:r>
    </w:p>
    <w:p w:rsidR="00EC25C1" w:rsidRPr="00CB6075" w:rsidRDefault="00325234" w:rsidP="00645D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>46 публикаций в районных и поселенческих газетах</w:t>
      </w:r>
      <w:r w:rsidR="00811ED8" w:rsidRPr="00CB6075">
        <w:rPr>
          <w:rFonts w:ascii="Times New Roman" w:eastAsiaTheme="minorHAnsi" w:hAnsi="Times New Roman"/>
          <w:sz w:val="28"/>
          <w:szCs w:val="28"/>
        </w:rPr>
        <w:t xml:space="preserve"> освещали вопросы развития</w:t>
      </w:r>
      <w:r w:rsidR="00645D8C" w:rsidRPr="00CB6075">
        <w:rPr>
          <w:rFonts w:ascii="Times New Roman" w:eastAsiaTheme="minorHAnsi" w:hAnsi="Times New Roman"/>
          <w:sz w:val="28"/>
          <w:szCs w:val="28"/>
        </w:rPr>
        <w:t xml:space="preserve"> сферы ЖКХ на территории района.</w:t>
      </w:r>
    </w:p>
    <w:p w:rsidR="00EC25C1" w:rsidRPr="00CB6075" w:rsidRDefault="00EC25C1" w:rsidP="00645D8C">
      <w:pPr>
        <w:spacing w:after="0" w:line="240" w:lineRule="auto"/>
        <w:ind w:firstLine="708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В целях защиты имущественных интересов и жилищных прав жителей Кубани постановлением главы администрации (губернатора) Краснодарского края № 1212 от 14 октября 2014 года в рамках государственной программы «Создание условий для обеспечения доступности финансовых услуг» </w:t>
      </w:r>
      <w:proofErr w:type="gramStart"/>
      <w:r w:rsidR="005D3D38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в</w:t>
      </w:r>
      <w:proofErr w:type="gramEnd"/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Тим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а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шевском</w:t>
      </w:r>
      <w:proofErr w:type="gramEnd"/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районе реализуется 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крае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вая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программа по созданию единой системы добровольного страхования жилых помещений населе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ния.</w:t>
      </w:r>
    </w:p>
    <w:p w:rsidR="00EC25C1" w:rsidRPr="00CB6075" w:rsidRDefault="00EC25C1" w:rsidP="00645D8C">
      <w:pPr>
        <w:spacing w:after="0" w:line="240" w:lineRule="auto"/>
        <w:ind w:firstLine="708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В течение 2016 года на регулярной основе проводилась информационно-разъяснительная работа при поддержке администраций поселений, депутатск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о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го корпуса, </w:t>
      </w:r>
      <w:proofErr w:type="spellStart"/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ТОСов</w:t>
      </w:r>
      <w:proofErr w:type="spellEnd"/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, на которых рассказывалось о преимуществах данной пр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о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граммы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, а так же были проведены кустовые встречи с собственниками 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жилья</w:t>
      </w:r>
    </w:p>
    <w:p w:rsidR="00EC25C1" w:rsidRPr="00CB6075" w:rsidRDefault="00EC25C1" w:rsidP="00645D8C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lastRenderedPageBreak/>
        <w:t xml:space="preserve">Разъяснительная работа 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по страховой защите жилых помещений 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велась через средства массовой информации:</w:t>
      </w:r>
      <w:r w:rsidR="00F7106F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5 публикаций в районной газете, 4 передачи на телевидении и 26 трансляций на радио.</w:t>
      </w:r>
    </w:p>
    <w:p w:rsidR="00EC25C1" w:rsidRPr="00CB6075" w:rsidRDefault="00EC25C1" w:rsidP="00645D8C">
      <w:pPr>
        <w:spacing w:after="0" w:line="240" w:lineRule="auto"/>
        <w:ind w:firstLine="708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Проведено 9 рабочих совещаний с участием администраций муниципал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ь</w:t>
      </w:r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ного образования Тимашевский район и сотрудников филиала ПАО «</w:t>
      </w:r>
      <w:proofErr w:type="spellStart"/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Росгострах</w:t>
      </w:r>
      <w:proofErr w:type="spellEnd"/>
      <w:r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» в Краснодарском крае, </w:t>
      </w:r>
      <w:r w:rsidR="005D3D38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20 сходов граждан в поселениях Т</w:t>
      </w:r>
      <w:r w:rsidR="005D3D38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и</w:t>
      </w:r>
      <w:r w:rsidR="00811ED8" w:rsidRPr="00CB607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машевского района.</w:t>
      </w:r>
    </w:p>
    <w:p w:rsidR="008F1E48" w:rsidRPr="00CB6075" w:rsidRDefault="00811ED8" w:rsidP="0081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2016 году с целью улучшения качества медицинского обслуживания и лекарственного обеспечения населения, администраций района 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лее 40 мониторингов ценообразования на ЖНВЛС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, результаты которых ра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сматривались на 4 заседаниях комиссий по борьбе с фальсифицированными л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карственными средствами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F1E48" w:rsidRPr="00CB6075" w:rsidRDefault="00811ED8" w:rsidP="0081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Совместно с руководителями ЛПУ проведено 144 административных 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ходов для определения уровня удовлетворенности населения качеством мед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цинских услуг. Результаты и ана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лиз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обсуждались на 12 рабочих совещаниях и 4 заседаниях комиссий медицинского Совета, в работе которых принимали участие представители организаций всех форм собственности. </w:t>
      </w:r>
    </w:p>
    <w:p w:rsidR="008F1E48" w:rsidRPr="00CB6075" w:rsidRDefault="00811ED8" w:rsidP="008F1E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В теч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райо</w:t>
      </w:r>
      <w:r w:rsidR="008F1E48" w:rsidRPr="00CB6075">
        <w:rPr>
          <w:rFonts w:ascii="Times New Roman" w:eastAsia="Times New Roman" w:hAnsi="Times New Roman"/>
          <w:sz w:val="28"/>
          <w:szCs w:val="28"/>
          <w:lang w:eastAsia="ru-RU"/>
        </w:rPr>
        <w:t>нных газетах «Знамя труда» и «Этаж новостей»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опубликовано 23 информационных материала, касающихся рынка медицинских услуг.</w:t>
      </w:r>
    </w:p>
    <w:p w:rsidR="00F81E4D" w:rsidRPr="00CB6075" w:rsidRDefault="00F81E4D" w:rsidP="008F1E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развития и популяризации рынка услуг дошкольного образов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ния, совершенствования системы и повышения качества оказываемых услуг в районе  в 2016 году проведено 12 совещаний посвященных вопросам развития рынка услуг дошкольного образования. На постоянной основе организуются собрания с родителями, представителями общественности и контролирующих органов по текущим вопросам  развития дошкольного образования. В районе организован  ежемесячный выпуск газеты «</w:t>
      </w:r>
      <w:proofErr w:type="spellStart"/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Тимкор</w:t>
      </w:r>
      <w:proofErr w:type="spellEnd"/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», в котором публикуются материалы, касающиеся развития дошкольного образования, дополнительного образования детей. В районной газете «Знамя труда» опубликовано 28 инфо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мационных материалов, касающихся вопросов развития рынка услуг дошкол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образования, рынка услуг дополнительного образования детей, рынка услуг детского отдыха и оздоровления детей.</w:t>
      </w:r>
    </w:p>
    <w:p w:rsidR="00F81E4D" w:rsidRPr="00CB6075" w:rsidRDefault="00F33A4F" w:rsidP="008F1E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мероприятий по развитию рынка услуг дополнительного обр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зования детей два раза в год каждым учреждением дополнительного образов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ния  для жителей района проводятся «Дни открытых дверей», на которых поп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ляризируются отдельные виды дополнительного образования, возможности для развития детского и юношеского творчества.</w:t>
      </w:r>
    </w:p>
    <w:p w:rsidR="008F1E48" w:rsidRPr="00CB6075" w:rsidRDefault="008F1E48" w:rsidP="00F81E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доступности дошкольного  образования, повыш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ния педагогической компетентности родителей, воспитывающих детей д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школьного возраста на дому, в т. ч. детей с ограниченными возможностями здоровь</w:t>
      </w:r>
      <w:r w:rsidR="008220E4"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в  2016 году на базе </w:t>
      </w:r>
      <w:r w:rsidR="008220E4" w:rsidRPr="00CB6075">
        <w:rPr>
          <w:rFonts w:ascii="Times New Roman" w:eastAsia="Times New Roman" w:hAnsi="Times New Roman"/>
          <w:sz w:val="28"/>
          <w:szCs w:val="28"/>
          <w:lang w:eastAsia="ru-RU"/>
        </w:rPr>
        <w:t>11 дошкольных учреждений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0E4" w:rsidRPr="00CB60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открыты ко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сультационные центры. В очном и заочном режиме за психологической, мет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дической консультацией в них обратились 101 человек.</w:t>
      </w:r>
    </w:p>
    <w:p w:rsidR="00645D8C" w:rsidRPr="00CB6075" w:rsidRDefault="00645D8C" w:rsidP="00645D8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0"/>
          <w:lang w:eastAsia="ru-RU"/>
        </w:rPr>
        <w:t>В целях развития рынка услуг в сфере культуры на территории района бы в 2016 году были организованы 26 различных фестивалей, смотров, конкурсов, 9 выставок-ярмарок, коллективы художественной самодеятельности и отдел</w:t>
      </w:r>
      <w:r w:rsidRPr="00CB6075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CB6075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ные исполнители приняли участие в 62 Всероссийских, Региональных и кра</w:t>
      </w:r>
      <w:r w:rsidRPr="00CB607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B6075">
        <w:rPr>
          <w:rFonts w:ascii="Times New Roman" w:eastAsia="Times New Roman" w:hAnsi="Times New Roman"/>
          <w:sz w:val="28"/>
          <w:szCs w:val="20"/>
          <w:lang w:eastAsia="ru-RU"/>
        </w:rPr>
        <w:t>вых конкурсах, в которых приняли участие 1300 человек.</w:t>
      </w:r>
    </w:p>
    <w:p w:rsidR="00645D8C" w:rsidRPr="00CB6075" w:rsidRDefault="00645D8C" w:rsidP="00645D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В 2016 году состоялось 15 районных совещаний работников клубно-досугового типа, 9 семинаров и 6 совещаний в библиотеках, 9 совещаний рук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водителей учреждений культуры.</w:t>
      </w:r>
    </w:p>
    <w:p w:rsidR="00645D8C" w:rsidRPr="00CB6075" w:rsidRDefault="00645D8C" w:rsidP="00645D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Т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машевский район в разделе «Социальная сфера, культура, новости» размещае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ся информация о планируемых и состоявшихся социально-значимых и кул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турно-массовых мероприятиях, состоявшихся в учреждениях культуры мун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Тимашевский район с приложением фотографий оп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B6075">
        <w:rPr>
          <w:rFonts w:ascii="Times New Roman" w:eastAsia="Times New Roman" w:hAnsi="Times New Roman"/>
          <w:sz w:val="28"/>
          <w:szCs w:val="28"/>
          <w:lang w:eastAsia="ru-RU"/>
        </w:rPr>
        <w:t>сываемых событий. Одновременно данная информация размещается на краевом сайте «Культура 23» и направляется для публикации в СМИ. В 2016 году было размещено 384 статьи.</w:t>
      </w:r>
    </w:p>
    <w:p w:rsidR="00904475" w:rsidRPr="00CB6075" w:rsidRDefault="00904475" w:rsidP="00904475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6075">
        <w:rPr>
          <w:rFonts w:ascii="Times New Roman" w:eastAsiaTheme="minorHAnsi" w:hAnsi="Times New Roman"/>
          <w:sz w:val="28"/>
          <w:szCs w:val="28"/>
        </w:rPr>
        <w:t>На о</w:t>
      </w:r>
      <w:r w:rsidRPr="00CB6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CB6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Тимашевский</w:t>
      </w:r>
      <w:proofErr w:type="spellEnd"/>
      <w:r w:rsidRPr="00CB6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</w:t>
      </w:r>
      <w:r w:rsidRPr="00CB6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</w:t>
      </w:r>
      <w:r w:rsidRPr="00CB6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он в информационно-телекоммуникационной сети «Интернет» 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(</w:t>
      </w:r>
      <w:hyperlink r:id="rId72" w:history="1">
        <w:r w:rsidRPr="00CB6075">
          <w:rPr>
            <w:rFonts w:ascii="Times New Roman" w:eastAsiaTheme="minorHAnsi" w:hAnsi="Times New Roman"/>
            <w:color w:val="000000" w:themeColor="text1"/>
            <w:sz w:val="28"/>
            <w:szCs w:val="28"/>
            <w:lang w:val="en-US"/>
          </w:rPr>
          <w:t>www</w:t>
        </w:r>
        <w:r w:rsidRPr="00CB607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.</w:t>
        </w:r>
        <w:proofErr w:type="spellStart"/>
        <w:r w:rsidRPr="00CB6075">
          <w:rPr>
            <w:rFonts w:ascii="Times New Roman" w:eastAsiaTheme="minorHAnsi" w:hAnsi="Times New Roman"/>
            <w:color w:val="000000" w:themeColor="text1"/>
            <w:sz w:val="28"/>
            <w:szCs w:val="28"/>
            <w:lang w:val="en-US"/>
          </w:rPr>
          <w:t>timregion</w:t>
        </w:r>
        <w:proofErr w:type="spellEnd"/>
        <w:r w:rsidRPr="00CB607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.</w:t>
        </w:r>
        <w:proofErr w:type="spellStart"/>
        <w:r w:rsidRPr="00CB6075">
          <w:rPr>
            <w:rFonts w:ascii="Times New Roman" w:eastAsiaTheme="minorHAnsi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) создан раздел «Виртуальная приемная главы муниципальн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 образования Тимашевский район», где представители </w:t>
      </w:r>
      <w:proofErr w:type="gramStart"/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бизнес-сообщества</w:t>
      </w:r>
      <w:proofErr w:type="gramEnd"/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граждане могут обратиться к главе муниципального образования Тимашевский район по любому интересующему вопросу.  Таким образом, обеспечивается р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бота канала прямой связи администрации и представителей бизнеса, граждан района. </w:t>
      </w:r>
    </w:p>
    <w:p w:rsidR="00DA340B" w:rsidRDefault="00904475" w:rsidP="00904475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6075">
        <w:rPr>
          <w:rFonts w:ascii="Times New Roman" w:eastAsiaTheme="minorHAnsi" w:hAnsi="Times New Roman"/>
          <w:color w:val="000000" w:themeColor="text1"/>
          <w:sz w:val="28"/>
          <w:szCs w:val="28"/>
        </w:rPr>
        <w:t>В администрации организована работа приемной главы для письменных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устных обращений граждан и руководителей хозяйствующих субъектов по различным вопросам, в том числе по вопросам, касающимся развития приор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тетных и социально-значимых рынков. Так в 2016 году  из 1026 письменных обращений 34% (348 обращений) и из 127 устных обращений 25%  касались вопросов развития рынка услуг ЖКХ. Все обращения рассматриваются в оп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ративном порядке главой муниципального образования Тимашевский район</w:t>
      </w:r>
      <w:r w:rsidR="00DA340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даются соответствующие поручения отраслевым отделам. </w:t>
      </w:r>
    </w:p>
    <w:p w:rsidR="00DA340B" w:rsidRPr="00DA340B" w:rsidRDefault="00DA340B" w:rsidP="00DA340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DA340B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Администрацией муниципального образования Тимашевский район налажена система обратной связи с хозяйствующими субъектами и жителями района (потребителями товаров, работ и услуг), что способствует развитию и совершенствованию конкурентных рынков услуг на территории района.</w:t>
      </w:r>
    </w:p>
    <w:p w:rsidR="00DA340B" w:rsidRDefault="00DA340B" w:rsidP="00DA34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40B">
        <w:rPr>
          <w:rFonts w:ascii="Times New Roman" w:eastAsiaTheme="minorHAnsi" w:hAnsi="Times New Roman"/>
          <w:color w:val="000000" w:themeColor="text1"/>
          <w:sz w:val="28"/>
          <w:szCs w:val="28"/>
        </w:rPr>
        <w:t>О достаточном уровне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информированности субъектов предпринимател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деятельности и потребителей товаров, работ и услуг о состоянии конк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рентной среды и деятельности по содействию развитию конкуренции свид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тельствую</w:t>
      </w:r>
      <w:r w:rsidRPr="00DA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 проведенного мониторинга (опроса) среди представит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бизнеса и жителей района - потребителей товара, работ и услуг.</w:t>
      </w:r>
    </w:p>
    <w:p w:rsidR="00DA340B" w:rsidRPr="00DA340B" w:rsidRDefault="00DA340B" w:rsidP="00DA34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66% респондентов считают, что информация легка в получении, 64%- что информация понятна, 67%- что информация доступна.</w:t>
      </w:r>
    </w:p>
    <w:p w:rsidR="00482D84" w:rsidRPr="00482D84" w:rsidRDefault="00482D84" w:rsidP="00482D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 итоги сводного отчета по реализации мероприятий, способств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ющих развитию конкуренции на территории муниципального образования Т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машевский район, можно сделать вывод, что в районе присутствуют все осно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82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</w:t>
      </w:r>
      <w:r w:rsidRPr="00482D84">
        <w:rPr>
          <w:rFonts w:ascii="Times New Roman" w:eastAsia="Times New Roman" w:hAnsi="Times New Roman"/>
          <w:sz w:val="28"/>
          <w:szCs w:val="28"/>
        </w:rPr>
        <w:t>социально-значимые и приоритетные рынки.</w:t>
      </w:r>
    </w:p>
    <w:p w:rsidR="00482D84" w:rsidRDefault="00482D84" w:rsidP="00482D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2695C" w:rsidRDefault="00482D84" w:rsidP="00B2695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Раздел 6</w:t>
      </w:r>
      <w:r w:rsidRPr="00E23A46">
        <w:rPr>
          <w:rFonts w:ascii="Times New Roman" w:hAnsi="Times New Roman"/>
          <w:b/>
          <w:bCs/>
          <w:sz w:val="28"/>
          <w:szCs w:val="28"/>
        </w:rPr>
        <w:t xml:space="preserve">. Дополнительные комментарии со стороны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(«обратная связь»)</w:t>
      </w:r>
    </w:p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При сравнении</w:t>
      </w:r>
      <w:r w:rsidRPr="00224304">
        <w:rPr>
          <w:rFonts w:ascii="Times New Roman" w:eastAsiaTheme="minorHAnsi" w:hAnsi="Times New Roman"/>
          <w:sz w:val="28"/>
          <w:szCs w:val="28"/>
        </w:rPr>
        <w:t xml:space="preserve"> ответов респондентов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24304">
        <w:rPr>
          <w:rFonts w:ascii="Times New Roman" w:eastAsiaTheme="minorHAnsi" w:hAnsi="Times New Roman"/>
          <w:sz w:val="28"/>
          <w:szCs w:val="28"/>
        </w:rPr>
        <w:t xml:space="preserve"> полученных в январе 2016 года с по</w:t>
      </w:r>
      <w:r>
        <w:rPr>
          <w:rFonts w:ascii="Times New Roman" w:eastAsiaTheme="minorHAnsi" w:hAnsi="Times New Roman"/>
          <w:sz w:val="28"/>
          <w:szCs w:val="28"/>
        </w:rPr>
        <w:t>лученными в ноябре</w:t>
      </w:r>
      <w:r w:rsidRPr="00224304">
        <w:rPr>
          <w:rFonts w:ascii="Times New Roman" w:eastAsiaTheme="minorHAnsi" w:hAnsi="Times New Roman"/>
          <w:sz w:val="28"/>
          <w:szCs w:val="28"/>
        </w:rPr>
        <w:t xml:space="preserve"> 2016 года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24304">
        <w:rPr>
          <w:rFonts w:ascii="Times New Roman" w:eastAsiaTheme="minorHAnsi" w:hAnsi="Times New Roman"/>
          <w:sz w:val="28"/>
          <w:szCs w:val="28"/>
        </w:rPr>
        <w:t xml:space="preserve"> на вопрос </w:t>
      </w:r>
      <w:r w:rsidRPr="0022430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Какое количество организаций предоставляют следующие товары и услуги на рынках вашего района (гор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да)?», где 1 – избыточно;  2 – достаточно; 3 – мало; 4 – нет совсем» были пол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чены результаты (в %), отраженные в таблице </w:t>
      </w:r>
      <w:proofErr w:type="gramEnd"/>
    </w:p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04" w:rsidRPr="00224304" w:rsidRDefault="00224304" w:rsidP="002243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4304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насыщенности товарными рынками</w:t>
      </w:r>
    </w:p>
    <w:p w:rsidR="00224304" w:rsidRPr="00224304" w:rsidRDefault="00224304" w:rsidP="002243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701" w:type="dxa"/>
            <w:gridSpan w:val="2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(Избыточно)</w:t>
            </w:r>
          </w:p>
        </w:tc>
        <w:tc>
          <w:tcPr>
            <w:tcW w:w="1701" w:type="dxa"/>
            <w:gridSpan w:val="2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(Достаточно)</w:t>
            </w:r>
          </w:p>
        </w:tc>
        <w:tc>
          <w:tcPr>
            <w:tcW w:w="1701" w:type="dxa"/>
            <w:gridSpan w:val="2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(Мало)</w:t>
            </w:r>
          </w:p>
        </w:tc>
        <w:tc>
          <w:tcPr>
            <w:tcW w:w="1701" w:type="dxa"/>
            <w:gridSpan w:val="2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(Нет совсем)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дошкольного обр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дополнительного образования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медицинских услуг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психолого-педагогического сопровождения детей с ограниченными возмо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ностями здоровья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в сфере культуры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в сфере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розничной торговли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перевозок пассаж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 наземным транспортом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связи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социального о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служивания населения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овощей и плодово-ягодной продукции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молока и молочной пр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мясной продукции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товаров промышленного назначения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электрических машин и электрооборудования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сельскохозяйственной техники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строительных материалов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текстильной и швейной продукции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туристских услуг (Вну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ренний туризм)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санаторно-оздоровительных услуг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бытовых услуг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4304" w:rsidRPr="00224304" w:rsidRDefault="00224304" w:rsidP="002243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Наиболее широкое распространение, по мнению </w:t>
      </w:r>
      <w:proofErr w:type="spellStart"/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тимашевцев</w:t>
      </w:r>
      <w:proofErr w:type="spellEnd"/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 имеют предприятия, занимающиеся реализацией мясной продукции: 63,8% опроше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ных считает, что их достаточно (в январе 2016 года – 80,2%), 22,2% заявляет об их избыточности (в январе 2016 года – 14%).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304" w:rsidRDefault="00224304" w:rsidP="00224304">
      <w:pPr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На втором месте - организации, занимающиеся 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предоставлением услуг связи:</w:t>
      </w:r>
      <w:r w:rsidRPr="00224304">
        <w:rPr>
          <w:rFonts w:ascii="Times New Roman" w:eastAsia="Courier New" w:hAnsi="Times New Roman"/>
          <w:color w:val="FF0000"/>
          <w:sz w:val="28"/>
          <w:szCs w:val="28"/>
          <w:lang w:eastAsia="ru-RU" w:bidi="ru-RU"/>
        </w:rPr>
        <w:t xml:space="preserve"> </w:t>
      </w:r>
      <w:r w:rsidRPr="00224304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>62,7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% отмечают их достаточность (в январе 2016 года – 79%) , 20,4% - избыточность (в январе 2016 года – 11,6%) . </w:t>
      </w:r>
    </w:p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Также широк выбор организаций, занимающихся реализацией овощей и фруктов, молочной продукции, грузоперевозками.</w:t>
      </w:r>
    </w:p>
    <w:p w:rsidR="00224304" w:rsidRPr="00224304" w:rsidRDefault="00224304" w:rsidP="0022430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Недостаточно представлены на рынке услуги психолого-педагогического сопровождения детей с ограниченными возможностями здоровья. Такого мн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ния придерживается 38,8% опрошенных в ноябре 2016 года, отметивших, что их мало, а 12,4% считает, что их «совсем нет». Необходимо отметить, что по результатам опроса, проведенного в январе 2016 года,  недостаток услуг отм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чался на рынке услуг по предоставлению детского отдыха и оздоровления. Т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кого мнения придерживалось 42,5% </w:t>
      </w:r>
      <w:proofErr w:type="gramStart"/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</w:p>
    <w:p w:rsidR="00224304" w:rsidRPr="00224304" w:rsidRDefault="00224304" w:rsidP="00224304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Также опрошенные считают недостаточным число организаций, пред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ставляющих санаторно-оздоровительные услуги, туристические услуги.</w:t>
      </w:r>
    </w:p>
    <w:p w:rsidR="00224304" w:rsidRPr="00224304" w:rsidRDefault="00224304" w:rsidP="0022430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Сравнивая уровень удовлетворенности рынками товаров и услуг на те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ритории муниципального образования Тимашевский район, респондентам зад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вался вопрос: </w:t>
      </w:r>
      <w:proofErr w:type="gramStart"/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«Насколько вы удовлетворены характеристиками следующих т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r w:rsidRPr="0022430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варов и услуг на рынках вашего района?», где 1 – Удовлетворен; 2 - Скорее удовлетворен; 3 - Скорее не удовлетворен; 4 - Не удовлетворен (в %)», были получены результаты (в %), отраженные в таблице №20.</w:t>
      </w:r>
      <w:proofErr w:type="gramEnd"/>
    </w:p>
    <w:p w:rsidR="00224304" w:rsidRPr="00224304" w:rsidRDefault="00224304" w:rsidP="0022430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224304" w:rsidRPr="00224304" w:rsidRDefault="00224304" w:rsidP="00224304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224304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Анализ  удовлетворенности товарными рынками</w:t>
      </w:r>
    </w:p>
    <w:p w:rsidR="00224304" w:rsidRPr="00224304" w:rsidRDefault="00224304" w:rsidP="00224304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701" w:type="dxa"/>
            <w:gridSpan w:val="2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(Удовлетв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рен)</w:t>
            </w:r>
          </w:p>
        </w:tc>
        <w:tc>
          <w:tcPr>
            <w:tcW w:w="1701" w:type="dxa"/>
            <w:gridSpan w:val="2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(Скорее уд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влетворен)</w:t>
            </w:r>
          </w:p>
        </w:tc>
        <w:tc>
          <w:tcPr>
            <w:tcW w:w="1701" w:type="dxa"/>
            <w:gridSpan w:val="2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(Скорее не удовлетворен)</w:t>
            </w:r>
          </w:p>
        </w:tc>
        <w:tc>
          <w:tcPr>
            <w:tcW w:w="1701" w:type="dxa"/>
            <w:gridSpan w:val="2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удовл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24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творен)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дошкольного обр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медицинских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19,6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психолого-педагогического сопровождения детей с ограниченными возмо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ностями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в сфере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в сфере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розничной торговли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перевозок пассаж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 наземным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Рынок услуг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Рынок услуг социального о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4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овощей и плодово-ягодной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молока и молочной пр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мясной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товаров промышленного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электрических машин и электрооборудования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сельскохозяйственной техники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строительных материалов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текстильной и швейной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туристских услуг (Вну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ренний туризм)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санаторно-оздоровительных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224304" w:rsidRPr="00224304" w:rsidTr="00224304">
        <w:tc>
          <w:tcPr>
            <w:tcW w:w="3085" w:type="dxa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Рынок бытовых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</w:tr>
      <w:tr w:rsidR="00224304" w:rsidRPr="00224304" w:rsidTr="00224304">
        <w:tc>
          <w:tcPr>
            <w:tcW w:w="3085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4304" w:rsidRPr="00224304" w:rsidRDefault="00224304" w:rsidP="002243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 уровню удовлетворенности функционирования това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ных рынков недовольство населения Тимашевского района сосредоточено в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круг услуг психолого-педагогического сопровождения детей с ограниченными возможностями здоровья, рынка туристических услуг,</w:t>
      </w:r>
      <w:r w:rsidRPr="00224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отмечены проблемы на рынке медицинских услуг и услуг детского отдыха и оздоровления. Аналоги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ситуация наблюдалась и в январе 2016 года. </w:t>
      </w:r>
    </w:p>
    <w:p w:rsidR="000E4C6F" w:rsidRPr="00224304" w:rsidRDefault="00224304" w:rsidP="000E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 в сфере развития конкуренции и приоритетных   социально-значимых рынков можно сделать вывод</w:t>
      </w:r>
      <w:r w:rsidR="000E4C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4C6F" w:rsidRPr="000E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C6F" w:rsidRP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районе присутствуют все основные социально-значимые и приоритетные рынки. </w:t>
      </w:r>
      <w:r w:rsidR="000E4C6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E4C6F" w:rsidRPr="00224304">
        <w:rPr>
          <w:rFonts w:ascii="Times New Roman" w:eastAsia="Times New Roman" w:hAnsi="Times New Roman"/>
          <w:sz w:val="28"/>
          <w:szCs w:val="28"/>
          <w:lang w:eastAsia="ru-RU"/>
        </w:rPr>
        <w:t>оличество рынков предоставляемых товаров и услуг является достаточным</w:t>
      </w:r>
      <w:r w:rsidR="000E4C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304" w:rsidRPr="00224304" w:rsidRDefault="000E4C6F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24304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 развиваются следующие рынки</w:t>
      </w:r>
      <w:r w:rsidR="00224304" w:rsidRPr="002243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24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304" w:rsidRPr="00224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 дошкольного образования, розничной торговли,</w:t>
      </w:r>
      <w:r w:rsidR="00224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304" w:rsidRPr="00224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 в сфере культуры, услуг связи</w:t>
      </w:r>
      <w:r w:rsidR="00224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4304" w:rsidRPr="00224304" w:rsidRDefault="00224304" w:rsidP="00224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0E4C6F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8121C" w:rsidRDefault="000E4C6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</w:t>
      </w:r>
      <w:r w:rsidR="00A8121C">
        <w:rPr>
          <w:b/>
          <w:bCs/>
          <w:color w:val="auto"/>
          <w:sz w:val="28"/>
          <w:szCs w:val="28"/>
        </w:rPr>
        <w:t>РИЛОЖЕНИЯ</w:t>
      </w:r>
    </w:p>
    <w:p w:rsidR="00A8121C" w:rsidRPr="007D78CE" w:rsidRDefault="00A8121C" w:rsidP="00A8121C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052181">
        <w:rPr>
          <w:rFonts w:ascii="Times New Roman" w:eastAsia="Times New Roman" w:hAnsi="Times New Roman"/>
          <w:sz w:val="28"/>
          <w:szCs w:val="28"/>
          <w:lang w:eastAsia="ru-RU"/>
        </w:rPr>
        <w:t>Данные ответственных лиц по вопросу внедрения стандарта развития ко</w:t>
      </w:r>
      <w:r w:rsidRPr="000521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52181">
        <w:rPr>
          <w:rFonts w:ascii="Times New Roman" w:eastAsia="Times New Roman" w:hAnsi="Times New Roman"/>
          <w:sz w:val="28"/>
          <w:szCs w:val="28"/>
          <w:lang w:eastAsia="ru-RU"/>
        </w:rPr>
        <w:t xml:space="preserve">куренции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</w:p>
    <w:p w:rsidR="00A8121C" w:rsidRDefault="00A8121C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>
        <w:rPr>
          <w:b/>
          <w:bCs/>
          <w:color w:val="auto"/>
          <w:sz w:val="28"/>
          <w:szCs w:val="28"/>
        </w:rPr>
        <w:tab/>
      </w:r>
      <w:r w:rsidR="00CB6075">
        <w:rPr>
          <w:rFonts w:eastAsia="Times New Roman"/>
          <w:sz w:val="28"/>
          <w:szCs w:val="28"/>
          <w:lang w:eastAsia="ru-RU"/>
        </w:rPr>
        <w:t>Отчет о реализации плана мероприятий («дорожная карта»)</w:t>
      </w:r>
      <w:r w:rsidR="00CB6075" w:rsidRPr="00A24276">
        <w:rPr>
          <w:rFonts w:eastAsia="Times New Roman"/>
          <w:sz w:val="28"/>
          <w:szCs w:val="28"/>
          <w:lang w:eastAsia="ru-RU"/>
        </w:rPr>
        <w:t xml:space="preserve"> по содействию развитию конкуренции и развитию конкурентной среды в муниципальном о</w:t>
      </w:r>
      <w:r w:rsidR="00CB6075" w:rsidRPr="00A24276">
        <w:rPr>
          <w:rFonts w:eastAsia="Times New Roman"/>
          <w:sz w:val="28"/>
          <w:szCs w:val="28"/>
          <w:lang w:eastAsia="ru-RU"/>
        </w:rPr>
        <w:t>б</w:t>
      </w:r>
      <w:r w:rsidR="00CB6075" w:rsidRPr="00A24276">
        <w:rPr>
          <w:rFonts w:eastAsia="Times New Roman"/>
          <w:sz w:val="28"/>
          <w:szCs w:val="28"/>
          <w:lang w:eastAsia="ru-RU"/>
        </w:rPr>
        <w:t>разовании</w:t>
      </w:r>
      <w:r w:rsidR="00CB6075">
        <w:rPr>
          <w:rFonts w:eastAsia="Times New Roman"/>
          <w:sz w:val="28"/>
          <w:szCs w:val="28"/>
          <w:lang w:eastAsia="ru-RU"/>
        </w:rPr>
        <w:t xml:space="preserve"> Тимашевский район</w:t>
      </w:r>
      <w:r w:rsidRPr="007D78CE">
        <w:rPr>
          <w:bCs/>
          <w:color w:val="auto"/>
          <w:sz w:val="28"/>
          <w:szCs w:val="28"/>
        </w:rPr>
        <w:t xml:space="preserve"> </w:t>
      </w:r>
    </w:p>
    <w:p w:rsidR="00A8121C" w:rsidRDefault="00A8121C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</w:rPr>
        <w:t>3.</w:t>
      </w:r>
      <w:r>
        <w:rPr>
          <w:b/>
          <w:bCs/>
          <w:color w:val="auto"/>
          <w:sz w:val="28"/>
          <w:szCs w:val="28"/>
        </w:rPr>
        <w:tab/>
      </w:r>
      <w:r>
        <w:rPr>
          <w:rFonts w:eastAsia="Times New Roman"/>
          <w:sz w:val="28"/>
          <w:szCs w:val="28"/>
          <w:lang w:eastAsia="ru-RU"/>
        </w:rPr>
        <w:t>Р</w:t>
      </w:r>
      <w:r w:rsidRPr="00D763FD">
        <w:rPr>
          <w:rFonts w:eastAsia="Times New Roman"/>
          <w:sz w:val="28"/>
          <w:szCs w:val="28"/>
          <w:lang w:eastAsia="ru-RU"/>
        </w:rPr>
        <w:t>еестр субъектов естественных монополий</w:t>
      </w:r>
      <w:r>
        <w:rPr>
          <w:rFonts w:eastAsia="Times New Roman"/>
          <w:sz w:val="28"/>
          <w:szCs w:val="28"/>
          <w:lang w:eastAsia="ru-RU"/>
        </w:rPr>
        <w:t>,</w:t>
      </w:r>
      <w:r w:rsidRPr="00D763FD">
        <w:rPr>
          <w:rFonts w:eastAsia="Times New Roman"/>
          <w:sz w:val="28"/>
          <w:szCs w:val="28"/>
          <w:lang w:eastAsia="ru-RU"/>
        </w:rPr>
        <w:t xml:space="preserve"> осуществляющих свою де</w:t>
      </w:r>
      <w:r w:rsidRPr="00D763FD">
        <w:rPr>
          <w:rFonts w:eastAsia="Times New Roman"/>
          <w:sz w:val="28"/>
          <w:szCs w:val="28"/>
          <w:lang w:eastAsia="ru-RU"/>
        </w:rPr>
        <w:t>я</w:t>
      </w:r>
      <w:r w:rsidRPr="00D763FD">
        <w:rPr>
          <w:rFonts w:eastAsia="Times New Roman"/>
          <w:sz w:val="28"/>
          <w:szCs w:val="28"/>
          <w:lang w:eastAsia="ru-RU"/>
        </w:rPr>
        <w:t>тельность на территории муниципального образования</w:t>
      </w:r>
    </w:p>
    <w:p w:rsidR="00A8121C" w:rsidRPr="00E23A46" w:rsidRDefault="00A8121C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</w:t>
      </w:r>
      <w:r>
        <w:rPr>
          <w:b/>
          <w:bCs/>
          <w:color w:val="auto"/>
          <w:sz w:val="28"/>
          <w:szCs w:val="28"/>
        </w:rPr>
        <w:tab/>
      </w:r>
      <w:r w:rsidRPr="00105659">
        <w:rPr>
          <w:rFonts w:eastAsia="Times New Roman"/>
          <w:sz w:val="28"/>
          <w:szCs w:val="28"/>
          <w:lang w:eastAsia="ru-RU"/>
        </w:rPr>
        <w:t>Реестр хозяйствующих субъектов, доля участия муниципального образов</w:t>
      </w:r>
      <w:r w:rsidRPr="00105659">
        <w:rPr>
          <w:rFonts w:eastAsia="Times New Roman"/>
          <w:sz w:val="28"/>
          <w:szCs w:val="28"/>
          <w:lang w:eastAsia="ru-RU"/>
        </w:rPr>
        <w:t>а</w:t>
      </w:r>
      <w:r w:rsidRPr="00105659">
        <w:rPr>
          <w:rFonts w:eastAsia="Times New Roman"/>
          <w:sz w:val="28"/>
          <w:szCs w:val="28"/>
          <w:lang w:eastAsia="ru-RU"/>
        </w:rPr>
        <w:t>ния в которых составляет 50% и более, с обозначением рынка их присутствия</w:t>
      </w: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Default="00A8121C" w:rsidP="00995311">
      <w:pPr>
        <w:pStyle w:val="ConsPlusNormal"/>
        <w:spacing w:before="120" w:after="120" w:line="276" w:lineRule="auto"/>
        <w:ind w:firstLine="709"/>
      </w:pPr>
    </w:p>
    <w:sectPr w:rsidR="00A8121C" w:rsidSect="009B31CF">
      <w:headerReference w:type="default" r:id="rId73"/>
      <w:pgSz w:w="11906" w:h="16838"/>
      <w:pgMar w:top="0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D" w:rsidRDefault="002E000D" w:rsidP="00F07113">
      <w:pPr>
        <w:spacing w:after="0" w:line="240" w:lineRule="auto"/>
      </w:pPr>
      <w:r>
        <w:separator/>
      </w:r>
    </w:p>
  </w:endnote>
  <w:endnote w:type="continuationSeparator" w:id="0">
    <w:p w:rsidR="002E000D" w:rsidRDefault="002E000D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D" w:rsidRDefault="002E000D" w:rsidP="00F07113">
      <w:pPr>
        <w:spacing w:after="0" w:line="240" w:lineRule="auto"/>
      </w:pPr>
      <w:r>
        <w:separator/>
      </w:r>
    </w:p>
  </w:footnote>
  <w:footnote w:type="continuationSeparator" w:id="0">
    <w:p w:rsidR="002E000D" w:rsidRDefault="002E000D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1138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000D" w:rsidRPr="00F177EB" w:rsidRDefault="002E000D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F177EB">
          <w:rPr>
            <w:rFonts w:ascii="Times New Roman" w:hAnsi="Times New Roman"/>
            <w:sz w:val="28"/>
            <w:szCs w:val="28"/>
          </w:rPr>
          <w:fldChar w:fldCharType="begin"/>
        </w:r>
        <w:r w:rsidRPr="00F177E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177EB">
          <w:rPr>
            <w:rFonts w:ascii="Times New Roman" w:hAnsi="Times New Roman"/>
            <w:sz w:val="28"/>
            <w:szCs w:val="28"/>
          </w:rPr>
          <w:fldChar w:fldCharType="separate"/>
        </w:r>
        <w:r w:rsidR="006A1B81">
          <w:rPr>
            <w:rFonts w:ascii="Times New Roman" w:hAnsi="Times New Roman"/>
            <w:noProof/>
            <w:sz w:val="28"/>
            <w:szCs w:val="28"/>
          </w:rPr>
          <w:t>34</w:t>
        </w:r>
        <w:r w:rsidRPr="00F177E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E000D" w:rsidRDefault="002E00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E2F1E"/>
    <w:lvl w:ilvl="0">
      <w:numFmt w:val="bullet"/>
      <w:lvlText w:val="*"/>
      <w:lvlJc w:val="left"/>
    </w:lvl>
  </w:abstractNum>
  <w:abstractNum w:abstractNumId="1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C328A"/>
    <w:multiLevelType w:val="hybridMultilevel"/>
    <w:tmpl w:val="9EC43464"/>
    <w:lvl w:ilvl="0" w:tplc="45B22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A63D0"/>
    <w:multiLevelType w:val="hybridMultilevel"/>
    <w:tmpl w:val="6652B9CC"/>
    <w:lvl w:ilvl="0" w:tplc="2C02B1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2076B3C"/>
    <w:multiLevelType w:val="multilevel"/>
    <w:tmpl w:val="D258040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32BD39F1"/>
    <w:multiLevelType w:val="hybridMultilevel"/>
    <w:tmpl w:val="3E86EC22"/>
    <w:lvl w:ilvl="0" w:tplc="9F38AED8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2E70643"/>
    <w:multiLevelType w:val="multilevel"/>
    <w:tmpl w:val="AECE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64188"/>
    <w:multiLevelType w:val="hybridMultilevel"/>
    <w:tmpl w:val="7EC2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E4E8B"/>
    <w:multiLevelType w:val="multilevel"/>
    <w:tmpl w:val="E1868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AD5343"/>
    <w:multiLevelType w:val="hybridMultilevel"/>
    <w:tmpl w:val="DD9413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7"/>
    <w:rsid w:val="00001447"/>
    <w:rsid w:val="0000253D"/>
    <w:rsid w:val="00002E3D"/>
    <w:rsid w:val="000210E3"/>
    <w:rsid w:val="00021F89"/>
    <w:rsid w:val="00022A83"/>
    <w:rsid w:val="00024279"/>
    <w:rsid w:val="00030DF7"/>
    <w:rsid w:val="00035D5A"/>
    <w:rsid w:val="00035F80"/>
    <w:rsid w:val="000379B3"/>
    <w:rsid w:val="00047688"/>
    <w:rsid w:val="000549B8"/>
    <w:rsid w:val="00055551"/>
    <w:rsid w:val="000564F1"/>
    <w:rsid w:val="000565FA"/>
    <w:rsid w:val="00071C8F"/>
    <w:rsid w:val="0007250B"/>
    <w:rsid w:val="00075588"/>
    <w:rsid w:val="00084EA6"/>
    <w:rsid w:val="000923C8"/>
    <w:rsid w:val="00095D29"/>
    <w:rsid w:val="000967BF"/>
    <w:rsid w:val="000B6823"/>
    <w:rsid w:val="000B6F3D"/>
    <w:rsid w:val="000C4494"/>
    <w:rsid w:val="000C609D"/>
    <w:rsid w:val="000C7942"/>
    <w:rsid w:val="000D0E9F"/>
    <w:rsid w:val="000D117E"/>
    <w:rsid w:val="000D4C4A"/>
    <w:rsid w:val="000D7D5D"/>
    <w:rsid w:val="000E4C6F"/>
    <w:rsid w:val="000F7B86"/>
    <w:rsid w:val="0011665C"/>
    <w:rsid w:val="00125176"/>
    <w:rsid w:val="00130B68"/>
    <w:rsid w:val="00131092"/>
    <w:rsid w:val="0015148C"/>
    <w:rsid w:val="0015156E"/>
    <w:rsid w:val="0015328B"/>
    <w:rsid w:val="00156C32"/>
    <w:rsid w:val="0015763D"/>
    <w:rsid w:val="001665F7"/>
    <w:rsid w:val="001720AC"/>
    <w:rsid w:val="00177815"/>
    <w:rsid w:val="00182682"/>
    <w:rsid w:val="00182BA4"/>
    <w:rsid w:val="001B0163"/>
    <w:rsid w:val="001B091C"/>
    <w:rsid w:val="001B3C12"/>
    <w:rsid w:val="001C5929"/>
    <w:rsid w:val="001D2BE7"/>
    <w:rsid w:val="001D5DA4"/>
    <w:rsid w:val="001E7B94"/>
    <w:rsid w:val="0020006E"/>
    <w:rsid w:val="00212802"/>
    <w:rsid w:val="00212AD6"/>
    <w:rsid w:val="00224304"/>
    <w:rsid w:val="0022719C"/>
    <w:rsid w:val="00230CC8"/>
    <w:rsid w:val="0023506B"/>
    <w:rsid w:val="0023581C"/>
    <w:rsid w:val="0024326D"/>
    <w:rsid w:val="00245BB1"/>
    <w:rsid w:val="00251A62"/>
    <w:rsid w:val="00252365"/>
    <w:rsid w:val="0025603B"/>
    <w:rsid w:val="00261DCB"/>
    <w:rsid w:val="00263EE4"/>
    <w:rsid w:val="00264A85"/>
    <w:rsid w:val="00274534"/>
    <w:rsid w:val="00275FE9"/>
    <w:rsid w:val="0028247C"/>
    <w:rsid w:val="00282EE9"/>
    <w:rsid w:val="002833D6"/>
    <w:rsid w:val="0029270D"/>
    <w:rsid w:val="00295D2D"/>
    <w:rsid w:val="002968B0"/>
    <w:rsid w:val="002A184E"/>
    <w:rsid w:val="002A7C98"/>
    <w:rsid w:val="002B721E"/>
    <w:rsid w:val="002C0A0C"/>
    <w:rsid w:val="002C0BD6"/>
    <w:rsid w:val="002C6E65"/>
    <w:rsid w:val="002D2902"/>
    <w:rsid w:val="002D2D8B"/>
    <w:rsid w:val="002D2ECF"/>
    <w:rsid w:val="002D3FB9"/>
    <w:rsid w:val="002D672D"/>
    <w:rsid w:val="002E000D"/>
    <w:rsid w:val="002E1AAD"/>
    <w:rsid w:val="002F3490"/>
    <w:rsid w:val="002F450C"/>
    <w:rsid w:val="002F4696"/>
    <w:rsid w:val="003017A4"/>
    <w:rsid w:val="00306C3F"/>
    <w:rsid w:val="0030747D"/>
    <w:rsid w:val="003077F8"/>
    <w:rsid w:val="00311D41"/>
    <w:rsid w:val="00325234"/>
    <w:rsid w:val="00327F54"/>
    <w:rsid w:val="00327F84"/>
    <w:rsid w:val="00331B48"/>
    <w:rsid w:val="00332564"/>
    <w:rsid w:val="00344E34"/>
    <w:rsid w:val="00351D9A"/>
    <w:rsid w:val="003523EC"/>
    <w:rsid w:val="00354800"/>
    <w:rsid w:val="00357C51"/>
    <w:rsid w:val="0036374C"/>
    <w:rsid w:val="003664B9"/>
    <w:rsid w:val="003767A8"/>
    <w:rsid w:val="003801B4"/>
    <w:rsid w:val="003824EF"/>
    <w:rsid w:val="003868F6"/>
    <w:rsid w:val="003954A5"/>
    <w:rsid w:val="003955E8"/>
    <w:rsid w:val="0039791C"/>
    <w:rsid w:val="003A0388"/>
    <w:rsid w:val="003A0F9A"/>
    <w:rsid w:val="003A4BD6"/>
    <w:rsid w:val="003A5795"/>
    <w:rsid w:val="003B0E5E"/>
    <w:rsid w:val="003B40B5"/>
    <w:rsid w:val="003B4786"/>
    <w:rsid w:val="003C01E7"/>
    <w:rsid w:val="003C0CB9"/>
    <w:rsid w:val="003C119F"/>
    <w:rsid w:val="003D0204"/>
    <w:rsid w:val="003D40B8"/>
    <w:rsid w:val="003E0BAB"/>
    <w:rsid w:val="003E118A"/>
    <w:rsid w:val="003E2883"/>
    <w:rsid w:val="003E6184"/>
    <w:rsid w:val="003F2252"/>
    <w:rsid w:val="00402BA5"/>
    <w:rsid w:val="00405225"/>
    <w:rsid w:val="0040665B"/>
    <w:rsid w:val="00412D9B"/>
    <w:rsid w:val="004154E1"/>
    <w:rsid w:val="00422032"/>
    <w:rsid w:val="004252E0"/>
    <w:rsid w:val="00431A7D"/>
    <w:rsid w:val="0043291E"/>
    <w:rsid w:val="00436632"/>
    <w:rsid w:val="00441B28"/>
    <w:rsid w:val="00447839"/>
    <w:rsid w:val="004629DA"/>
    <w:rsid w:val="00467481"/>
    <w:rsid w:val="004820D5"/>
    <w:rsid w:val="004822CE"/>
    <w:rsid w:val="00482D84"/>
    <w:rsid w:val="004866BA"/>
    <w:rsid w:val="004868C0"/>
    <w:rsid w:val="00487C11"/>
    <w:rsid w:val="00494F2C"/>
    <w:rsid w:val="00497C47"/>
    <w:rsid w:val="004A34B4"/>
    <w:rsid w:val="004B0A7A"/>
    <w:rsid w:val="004B3EAE"/>
    <w:rsid w:val="004B55D0"/>
    <w:rsid w:val="004C00CF"/>
    <w:rsid w:val="004C464C"/>
    <w:rsid w:val="004C6F91"/>
    <w:rsid w:val="004D2A81"/>
    <w:rsid w:val="004E444C"/>
    <w:rsid w:val="004E6C47"/>
    <w:rsid w:val="004E7989"/>
    <w:rsid w:val="004F039B"/>
    <w:rsid w:val="004F03C8"/>
    <w:rsid w:val="004F4C07"/>
    <w:rsid w:val="00504594"/>
    <w:rsid w:val="005068AF"/>
    <w:rsid w:val="00507D5B"/>
    <w:rsid w:val="005117EB"/>
    <w:rsid w:val="00511FBF"/>
    <w:rsid w:val="00517ADF"/>
    <w:rsid w:val="00520AFB"/>
    <w:rsid w:val="00526783"/>
    <w:rsid w:val="00531FA3"/>
    <w:rsid w:val="00532608"/>
    <w:rsid w:val="0054244F"/>
    <w:rsid w:val="00547486"/>
    <w:rsid w:val="00547FDB"/>
    <w:rsid w:val="0055053B"/>
    <w:rsid w:val="00550C11"/>
    <w:rsid w:val="0056381C"/>
    <w:rsid w:val="005677A4"/>
    <w:rsid w:val="0057058D"/>
    <w:rsid w:val="00572AED"/>
    <w:rsid w:val="00577376"/>
    <w:rsid w:val="00577638"/>
    <w:rsid w:val="00577762"/>
    <w:rsid w:val="0057794C"/>
    <w:rsid w:val="0058670A"/>
    <w:rsid w:val="00587369"/>
    <w:rsid w:val="005B193B"/>
    <w:rsid w:val="005C3C77"/>
    <w:rsid w:val="005C4BC4"/>
    <w:rsid w:val="005C5138"/>
    <w:rsid w:val="005D3744"/>
    <w:rsid w:val="005D3D38"/>
    <w:rsid w:val="005D5F93"/>
    <w:rsid w:val="005E0C4B"/>
    <w:rsid w:val="005E1203"/>
    <w:rsid w:val="005E1509"/>
    <w:rsid w:val="005E211F"/>
    <w:rsid w:val="00600415"/>
    <w:rsid w:val="00600793"/>
    <w:rsid w:val="00602EC3"/>
    <w:rsid w:val="006143E4"/>
    <w:rsid w:val="00616AC2"/>
    <w:rsid w:val="0062005F"/>
    <w:rsid w:val="00626E5F"/>
    <w:rsid w:val="006358FD"/>
    <w:rsid w:val="00636920"/>
    <w:rsid w:val="0064535A"/>
    <w:rsid w:val="00645D8C"/>
    <w:rsid w:val="00646231"/>
    <w:rsid w:val="006464F9"/>
    <w:rsid w:val="00652721"/>
    <w:rsid w:val="0066169C"/>
    <w:rsid w:val="006626E2"/>
    <w:rsid w:val="00671DE4"/>
    <w:rsid w:val="006733B1"/>
    <w:rsid w:val="006753FB"/>
    <w:rsid w:val="0068330C"/>
    <w:rsid w:val="00683BEE"/>
    <w:rsid w:val="006A1B81"/>
    <w:rsid w:val="006B6181"/>
    <w:rsid w:val="006C2A3B"/>
    <w:rsid w:val="006C4915"/>
    <w:rsid w:val="006D0E0F"/>
    <w:rsid w:val="006D7A31"/>
    <w:rsid w:val="006E1B71"/>
    <w:rsid w:val="006E25DC"/>
    <w:rsid w:val="006E4F64"/>
    <w:rsid w:val="006E6119"/>
    <w:rsid w:val="006F015E"/>
    <w:rsid w:val="006F1DF1"/>
    <w:rsid w:val="006F2ED6"/>
    <w:rsid w:val="007041AE"/>
    <w:rsid w:val="00724973"/>
    <w:rsid w:val="00727140"/>
    <w:rsid w:val="00731151"/>
    <w:rsid w:val="00731B53"/>
    <w:rsid w:val="00732D95"/>
    <w:rsid w:val="00741702"/>
    <w:rsid w:val="00744C77"/>
    <w:rsid w:val="00753CB5"/>
    <w:rsid w:val="00760328"/>
    <w:rsid w:val="00763505"/>
    <w:rsid w:val="00777AF8"/>
    <w:rsid w:val="007814B3"/>
    <w:rsid w:val="00781E6B"/>
    <w:rsid w:val="0078358E"/>
    <w:rsid w:val="007854A0"/>
    <w:rsid w:val="0079263C"/>
    <w:rsid w:val="007930FE"/>
    <w:rsid w:val="00794D4E"/>
    <w:rsid w:val="007A1CC5"/>
    <w:rsid w:val="007A3CBA"/>
    <w:rsid w:val="007A61BE"/>
    <w:rsid w:val="007B0CF5"/>
    <w:rsid w:val="007C031A"/>
    <w:rsid w:val="007C3680"/>
    <w:rsid w:val="007C3C0B"/>
    <w:rsid w:val="007D08E0"/>
    <w:rsid w:val="007D735C"/>
    <w:rsid w:val="007E052E"/>
    <w:rsid w:val="007E3535"/>
    <w:rsid w:val="007E5E39"/>
    <w:rsid w:val="007E5FA2"/>
    <w:rsid w:val="007E5FE6"/>
    <w:rsid w:val="007F1635"/>
    <w:rsid w:val="007F20DD"/>
    <w:rsid w:val="007F3C66"/>
    <w:rsid w:val="007F3EC1"/>
    <w:rsid w:val="007F69A7"/>
    <w:rsid w:val="00811ED8"/>
    <w:rsid w:val="008131DA"/>
    <w:rsid w:val="00821C0A"/>
    <w:rsid w:val="0082202D"/>
    <w:rsid w:val="008220E4"/>
    <w:rsid w:val="00825E3F"/>
    <w:rsid w:val="00832387"/>
    <w:rsid w:val="00834C2E"/>
    <w:rsid w:val="00841D4F"/>
    <w:rsid w:val="00856F45"/>
    <w:rsid w:val="00861876"/>
    <w:rsid w:val="008625BE"/>
    <w:rsid w:val="008625DB"/>
    <w:rsid w:val="00862E58"/>
    <w:rsid w:val="008634EB"/>
    <w:rsid w:val="00867F53"/>
    <w:rsid w:val="00871697"/>
    <w:rsid w:val="00875A98"/>
    <w:rsid w:val="008901EF"/>
    <w:rsid w:val="008915D8"/>
    <w:rsid w:val="00894445"/>
    <w:rsid w:val="008A304C"/>
    <w:rsid w:val="008A6F5D"/>
    <w:rsid w:val="008B62CD"/>
    <w:rsid w:val="008B7F75"/>
    <w:rsid w:val="008C23BD"/>
    <w:rsid w:val="008C7C91"/>
    <w:rsid w:val="008D0D8A"/>
    <w:rsid w:val="008E42A4"/>
    <w:rsid w:val="008E5890"/>
    <w:rsid w:val="008E7450"/>
    <w:rsid w:val="008F1E48"/>
    <w:rsid w:val="00903644"/>
    <w:rsid w:val="00903BAD"/>
    <w:rsid w:val="00903CBA"/>
    <w:rsid w:val="00904475"/>
    <w:rsid w:val="00946408"/>
    <w:rsid w:val="00946970"/>
    <w:rsid w:val="009508E8"/>
    <w:rsid w:val="00951E0B"/>
    <w:rsid w:val="00952904"/>
    <w:rsid w:val="009529E5"/>
    <w:rsid w:val="00956226"/>
    <w:rsid w:val="00962AD8"/>
    <w:rsid w:val="009719BC"/>
    <w:rsid w:val="00971F46"/>
    <w:rsid w:val="00983663"/>
    <w:rsid w:val="00995311"/>
    <w:rsid w:val="009A3869"/>
    <w:rsid w:val="009B12AD"/>
    <w:rsid w:val="009B31CF"/>
    <w:rsid w:val="009B5F52"/>
    <w:rsid w:val="009B7809"/>
    <w:rsid w:val="009C7944"/>
    <w:rsid w:val="009C7B7C"/>
    <w:rsid w:val="009C7FE7"/>
    <w:rsid w:val="009D21FF"/>
    <w:rsid w:val="009E0D0A"/>
    <w:rsid w:val="009E6071"/>
    <w:rsid w:val="00A105DB"/>
    <w:rsid w:val="00A10ECC"/>
    <w:rsid w:val="00A224BC"/>
    <w:rsid w:val="00A24276"/>
    <w:rsid w:val="00A24C91"/>
    <w:rsid w:val="00A51529"/>
    <w:rsid w:val="00A517BF"/>
    <w:rsid w:val="00A55DB1"/>
    <w:rsid w:val="00A62C6A"/>
    <w:rsid w:val="00A64102"/>
    <w:rsid w:val="00A73437"/>
    <w:rsid w:val="00A744DD"/>
    <w:rsid w:val="00A74CF4"/>
    <w:rsid w:val="00A8121C"/>
    <w:rsid w:val="00A818E5"/>
    <w:rsid w:val="00A91F96"/>
    <w:rsid w:val="00A95844"/>
    <w:rsid w:val="00A960C0"/>
    <w:rsid w:val="00AA3E3A"/>
    <w:rsid w:val="00AA5181"/>
    <w:rsid w:val="00AA7737"/>
    <w:rsid w:val="00AB2B7C"/>
    <w:rsid w:val="00AB3DA2"/>
    <w:rsid w:val="00AD2FDC"/>
    <w:rsid w:val="00AE0E01"/>
    <w:rsid w:val="00AE513B"/>
    <w:rsid w:val="00AE6129"/>
    <w:rsid w:val="00AE7DD3"/>
    <w:rsid w:val="00AF5CA2"/>
    <w:rsid w:val="00AF7FF2"/>
    <w:rsid w:val="00B05AC7"/>
    <w:rsid w:val="00B07666"/>
    <w:rsid w:val="00B1156D"/>
    <w:rsid w:val="00B129C2"/>
    <w:rsid w:val="00B20F73"/>
    <w:rsid w:val="00B21D43"/>
    <w:rsid w:val="00B2695C"/>
    <w:rsid w:val="00B35049"/>
    <w:rsid w:val="00B3537E"/>
    <w:rsid w:val="00B408DE"/>
    <w:rsid w:val="00B40ED5"/>
    <w:rsid w:val="00B5328F"/>
    <w:rsid w:val="00B53BF4"/>
    <w:rsid w:val="00B6017D"/>
    <w:rsid w:val="00B62699"/>
    <w:rsid w:val="00B62E8A"/>
    <w:rsid w:val="00B63A65"/>
    <w:rsid w:val="00B63FE7"/>
    <w:rsid w:val="00B642AD"/>
    <w:rsid w:val="00B655BD"/>
    <w:rsid w:val="00B657B2"/>
    <w:rsid w:val="00B71AAB"/>
    <w:rsid w:val="00B72009"/>
    <w:rsid w:val="00B8042C"/>
    <w:rsid w:val="00BA0322"/>
    <w:rsid w:val="00BB6BF6"/>
    <w:rsid w:val="00BB77C0"/>
    <w:rsid w:val="00BC5F57"/>
    <w:rsid w:val="00BD3D4C"/>
    <w:rsid w:val="00BD4693"/>
    <w:rsid w:val="00BD496D"/>
    <w:rsid w:val="00BD4D16"/>
    <w:rsid w:val="00BE3078"/>
    <w:rsid w:val="00BF2F97"/>
    <w:rsid w:val="00BF41FB"/>
    <w:rsid w:val="00BF570C"/>
    <w:rsid w:val="00BF7158"/>
    <w:rsid w:val="00C07E36"/>
    <w:rsid w:val="00C11AFB"/>
    <w:rsid w:val="00C175D4"/>
    <w:rsid w:val="00C2463F"/>
    <w:rsid w:val="00C24CFA"/>
    <w:rsid w:val="00C32ED3"/>
    <w:rsid w:val="00C356FD"/>
    <w:rsid w:val="00C37507"/>
    <w:rsid w:val="00C434B4"/>
    <w:rsid w:val="00C43F49"/>
    <w:rsid w:val="00C468EE"/>
    <w:rsid w:val="00C5011A"/>
    <w:rsid w:val="00C507CB"/>
    <w:rsid w:val="00C515C0"/>
    <w:rsid w:val="00C57367"/>
    <w:rsid w:val="00C636BD"/>
    <w:rsid w:val="00C63AF3"/>
    <w:rsid w:val="00C6717D"/>
    <w:rsid w:val="00C75354"/>
    <w:rsid w:val="00C90B87"/>
    <w:rsid w:val="00C9252A"/>
    <w:rsid w:val="00CA3ABF"/>
    <w:rsid w:val="00CA5A5A"/>
    <w:rsid w:val="00CB5EEB"/>
    <w:rsid w:val="00CB6075"/>
    <w:rsid w:val="00CC5F73"/>
    <w:rsid w:val="00CC70FB"/>
    <w:rsid w:val="00CD0F56"/>
    <w:rsid w:val="00CE1C96"/>
    <w:rsid w:val="00CF4484"/>
    <w:rsid w:val="00CF6E5F"/>
    <w:rsid w:val="00CF7F90"/>
    <w:rsid w:val="00D03999"/>
    <w:rsid w:val="00D1093E"/>
    <w:rsid w:val="00D11632"/>
    <w:rsid w:val="00D22AC7"/>
    <w:rsid w:val="00D25C42"/>
    <w:rsid w:val="00D27F3F"/>
    <w:rsid w:val="00D32A4C"/>
    <w:rsid w:val="00D35A32"/>
    <w:rsid w:val="00D36B62"/>
    <w:rsid w:val="00D440FE"/>
    <w:rsid w:val="00D54123"/>
    <w:rsid w:val="00D67669"/>
    <w:rsid w:val="00D7398E"/>
    <w:rsid w:val="00D8386C"/>
    <w:rsid w:val="00D913A2"/>
    <w:rsid w:val="00D95032"/>
    <w:rsid w:val="00D96F67"/>
    <w:rsid w:val="00DA340B"/>
    <w:rsid w:val="00DA7565"/>
    <w:rsid w:val="00DB0A87"/>
    <w:rsid w:val="00DB6061"/>
    <w:rsid w:val="00DB78BB"/>
    <w:rsid w:val="00DC4D60"/>
    <w:rsid w:val="00DD0571"/>
    <w:rsid w:val="00DD16D7"/>
    <w:rsid w:val="00DD29F8"/>
    <w:rsid w:val="00DD34B8"/>
    <w:rsid w:val="00DD6FAF"/>
    <w:rsid w:val="00DE23E8"/>
    <w:rsid w:val="00DE559B"/>
    <w:rsid w:val="00DF0A87"/>
    <w:rsid w:val="00E03849"/>
    <w:rsid w:val="00E07D9E"/>
    <w:rsid w:val="00E1196B"/>
    <w:rsid w:val="00E16851"/>
    <w:rsid w:val="00E20648"/>
    <w:rsid w:val="00E33351"/>
    <w:rsid w:val="00E36A81"/>
    <w:rsid w:val="00E424E3"/>
    <w:rsid w:val="00E43E1D"/>
    <w:rsid w:val="00E51122"/>
    <w:rsid w:val="00E51ECD"/>
    <w:rsid w:val="00E6250D"/>
    <w:rsid w:val="00E731E3"/>
    <w:rsid w:val="00E7373D"/>
    <w:rsid w:val="00E9656E"/>
    <w:rsid w:val="00EA4119"/>
    <w:rsid w:val="00EA6929"/>
    <w:rsid w:val="00EB4B95"/>
    <w:rsid w:val="00EC25C1"/>
    <w:rsid w:val="00EC7072"/>
    <w:rsid w:val="00ED74A3"/>
    <w:rsid w:val="00ED7518"/>
    <w:rsid w:val="00EF0B12"/>
    <w:rsid w:val="00EF2AE0"/>
    <w:rsid w:val="00EF6C68"/>
    <w:rsid w:val="00F00F01"/>
    <w:rsid w:val="00F0173E"/>
    <w:rsid w:val="00F02AA1"/>
    <w:rsid w:val="00F05DFA"/>
    <w:rsid w:val="00F07113"/>
    <w:rsid w:val="00F177EB"/>
    <w:rsid w:val="00F231DD"/>
    <w:rsid w:val="00F23321"/>
    <w:rsid w:val="00F26ADE"/>
    <w:rsid w:val="00F3049D"/>
    <w:rsid w:val="00F3326B"/>
    <w:rsid w:val="00F33A4F"/>
    <w:rsid w:val="00F36FCB"/>
    <w:rsid w:val="00F37C69"/>
    <w:rsid w:val="00F43834"/>
    <w:rsid w:val="00F503ED"/>
    <w:rsid w:val="00F50746"/>
    <w:rsid w:val="00F52539"/>
    <w:rsid w:val="00F53A28"/>
    <w:rsid w:val="00F57154"/>
    <w:rsid w:val="00F62BBF"/>
    <w:rsid w:val="00F7106F"/>
    <w:rsid w:val="00F81E4D"/>
    <w:rsid w:val="00F85F0C"/>
    <w:rsid w:val="00F8674C"/>
    <w:rsid w:val="00FA5A26"/>
    <w:rsid w:val="00FB26C7"/>
    <w:rsid w:val="00FB7156"/>
    <w:rsid w:val="00FC65B8"/>
    <w:rsid w:val="00FD7673"/>
    <w:rsid w:val="00FE02A2"/>
    <w:rsid w:val="00FE0B86"/>
    <w:rsid w:val="00FE35BE"/>
    <w:rsid w:val="00FE480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next w:val="a"/>
    <w:link w:val="a7"/>
    <w:uiPriority w:val="10"/>
    <w:qFormat/>
    <w:rsid w:val="006E4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E4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rsid w:val="006E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A7A"/>
    <w:rPr>
      <w:b/>
      <w:bCs/>
      <w:i/>
      <w:iCs/>
      <w:color w:val="4F81BD" w:themeColor="accent1"/>
    </w:rPr>
  </w:style>
  <w:style w:type="paragraph" w:customStyle="1" w:styleId="Default">
    <w:name w:val="Default"/>
    <w:rsid w:val="00EF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3109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31092"/>
    <w:rPr>
      <w:rFonts w:ascii="Calibri" w:eastAsia="Calibri" w:hAnsi="Calibri" w:cs="Times New Roman"/>
    </w:rPr>
  </w:style>
  <w:style w:type="paragraph" w:styleId="af6">
    <w:name w:val="caption"/>
    <w:basedOn w:val="a"/>
    <w:next w:val="a"/>
    <w:uiPriority w:val="35"/>
    <w:unhideWhenUsed/>
    <w:qFormat/>
    <w:rsid w:val="007854A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 Indent"/>
    <w:basedOn w:val="a"/>
    <w:link w:val="af8"/>
    <w:uiPriority w:val="99"/>
    <w:semiHidden/>
    <w:unhideWhenUsed/>
    <w:rsid w:val="000025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0253D"/>
    <w:rPr>
      <w:rFonts w:ascii="Calibri" w:eastAsia="Calibri" w:hAnsi="Calibri" w:cs="Times New Roman"/>
    </w:rPr>
  </w:style>
  <w:style w:type="table" w:customStyle="1" w:styleId="20">
    <w:name w:val="Сетка таблицы2"/>
    <w:basedOn w:val="a1"/>
    <w:next w:val="a8"/>
    <w:uiPriority w:val="59"/>
    <w:rsid w:val="0000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9508E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E9656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39"/>
    <w:rsid w:val="0022430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next w:val="a"/>
    <w:link w:val="a7"/>
    <w:uiPriority w:val="10"/>
    <w:qFormat/>
    <w:rsid w:val="006E4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E4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rsid w:val="006E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A7A"/>
    <w:rPr>
      <w:b/>
      <w:bCs/>
      <w:i/>
      <w:iCs/>
      <w:color w:val="4F81BD" w:themeColor="accent1"/>
    </w:rPr>
  </w:style>
  <w:style w:type="paragraph" w:customStyle="1" w:styleId="Default">
    <w:name w:val="Default"/>
    <w:rsid w:val="00EF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3109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31092"/>
    <w:rPr>
      <w:rFonts w:ascii="Calibri" w:eastAsia="Calibri" w:hAnsi="Calibri" w:cs="Times New Roman"/>
    </w:rPr>
  </w:style>
  <w:style w:type="paragraph" w:styleId="af6">
    <w:name w:val="caption"/>
    <w:basedOn w:val="a"/>
    <w:next w:val="a"/>
    <w:uiPriority w:val="35"/>
    <w:unhideWhenUsed/>
    <w:qFormat/>
    <w:rsid w:val="007854A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 Indent"/>
    <w:basedOn w:val="a"/>
    <w:link w:val="af8"/>
    <w:uiPriority w:val="99"/>
    <w:semiHidden/>
    <w:unhideWhenUsed/>
    <w:rsid w:val="000025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0253D"/>
    <w:rPr>
      <w:rFonts w:ascii="Calibri" w:eastAsia="Calibri" w:hAnsi="Calibri" w:cs="Times New Roman"/>
    </w:rPr>
  </w:style>
  <w:style w:type="table" w:customStyle="1" w:styleId="20">
    <w:name w:val="Сетка таблицы2"/>
    <w:basedOn w:val="a1"/>
    <w:next w:val="a8"/>
    <w:uiPriority w:val="59"/>
    <w:rsid w:val="0000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9508E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E9656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39"/>
    <w:rsid w:val="0022430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9" Type="http://schemas.openxmlformats.org/officeDocument/2006/relationships/chart" Target="charts/chart27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42" Type="http://schemas.openxmlformats.org/officeDocument/2006/relationships/chart" Target="charts/chart30.xml"/><Relationship Id="rId47" Type="http://schemas.openxmlformats.org/officeDocument/2006/relationships/chart" Target="charts/chart35.xml"/><Relationship Id="rId50" Type="http://schemas.openxmlformats.org/officeDocument/2006/relationships/chart" Target="charts/chart38.xml"/><Relationship Id="rId55" Type="http://schemas.openxmlformats.org/officeDocument/2006/relationships/chart" Target="charts/chart43.xml"/><Relationship Id="rId63" Type="http://schemas.openxmlformats.org/officeDocument/2006/relationships/hyperlink" Target="http://oao-atek.ru/" TargetMode="External"/><Relationship Id="rId68" Type="http://schemas.openxmlformats.org/officeDocument/2006/relationships/chart" Target="charts/chart49.xml"/><Relationship Id="rId7" Type="http://schemas.openxmlformats.org/officeDocument/2006/relationships/footnotes" Target="footnotes.xml"/><Relationship Id="rId71" Type="http://schemas.openxmlformats.org/officeDocument/2006/relationships/hyperlink" Target="http://invest-timregion.ru/ru/v-pom-predpri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chart" Target="charts/chart17.xml"/><Relationship Id="rId11" Type="http://schemas.openxmlformats.org/officeDocument/2006/relationships/hyperlink" Target="http://www.timregion.ru" TargetMode="Externa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chart" Target="charts/chart28.xml"/><Relationship Id="rId45" Type="http://schemas.openxmlformats.org/officeDocument/2006/relationships/chart" Target="charts/chart33.xml"/><Relationship Id="rId53" Type="http://schemas.openxmlformats.org/officeDocument/2006/relationships/chart" Target="charts/chart41.xml"/><Relationship Id="rId58" Type="http://schemas.openxmlformats.org/officeDocument/2006/relationships/chart" Target="charts/chart46.xml"/><Relationship Id="rId66" Type="http://schemas.openxmlformats.org/officeDocument/2006/relationships/hyperlink" Target="https://www.pochta.ru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49" Type="http://schemas.openxmlformats.org/officeDocument/2006/relationships/chart" Target="charts/chart37.xml"/><Relationship Id="rId57" Type="http://schemas.openxmlformats.org/officeDocument/2006/relationships/chart" Target="charts/chart45.xml"/><Relationship Id="rId61" Type="http://schemas.openxmlformats.org/officeDocument/2006/relationships/hyperlink" Target="http://kubanenergo.ru" TargetMode="External"/><Relationship Id="rId10" Type="http://schemas.openxmlformats.org/officeDocument/2006/relationships/hyperlink" Target="http://www.invest-timregion.ru" TargetMode="Externa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4" Type="http://schemas.openxmlformats.org/officeDocument/2006/relationships/chart" Target="charts/chart32.xml"/><Relationship Id="rId52" Type="http://schemas.openxmlformats.org/officeDocument/2006/relationships/chart" Target="charts/chart40.xml"/><Relationship Id="rId60" Type="http://schemas.openxmlformats.org/officeDocument/2006/relationships/chart" Target="charts/chart48.xml"/><Relationship Id="rId65" Type="http://schemas.openxmlformats.org/officeDocument/2006/relationships/hyperlink" Target="http://oookommunalnik.ru/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p.asi.ru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Relationship Id="rId43" Type="http://schemas.openxmlformats.org/officeDocument/2006/relationships/chart" Target="charts/chart31.xml"/><Relationship Id="rId48" Type="http://schemas.openxmlformats.org/officeDocument/2006/relationships/chart" Target="charts/chart36.xml"/><Relationship Id="rId56" Type="http://schemas.openxmlformats.org/officeDocument/2006/relationships/chart" Target="charts/chart44.xml"/><Relationship Id="rId64" Type="http://schemas.openxmlformats.org/officeDocument/2006/relationships/hyperlink" Target="http://gazpromgk.ru" TargetMode="External"/><Relationship Id="rId69" Type="http://schemas.openxmlformats.org/officeDocument/2006/relationships/chart" Target="charts/chart50.xml"/><Relationship Id="rId8" Type="http://schemas.openxmlformats.org/officeDocument/2006/relationships/endnotes" Target="endnotes.xml"/><Relationship Id="rId51" Type="http://schemas.openxmlformats.org/officeDocument/2006/relationships/chart" Target="charts/chart39.xml"/><Relationship Id="rId72" Type="http://schemas.openxmlformats.org/officeDocument/2006/relationships/hyperlink" Target="http://www.timregion.ru" TargetMode="Externa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chart" Target="charts/chart26.xml"/><Relationship Id="rId46" Type="http://schemas.openxmlformats.org/officeDocument/2006/relationships/chart" Target="charts/chart34.xml"/><Relationship Id="rId59" Type="http://schemas.openxmlformats.org/officeDocument/2006/relationships/chart" Target="charts/chart47.xml"/><Relationship Id="rId67" Type="http://schemas.openxmlformats.org/officeDocument/2006/relationships/hyperlink" Target="http://www.rostelecom.ru/" TargetMode="External"/><Relationship Id="rId20" Type="http://schemas.openxmlformats.org/officeDocument/2006/relationships/chart" Target="charts/chart8.xml"/><Relationship Id="rId41" Type="http://schemas.openxmlformats.org/officeDocument/2006/relationships/chart" Target="charts/chart29.xml"/><Relationship Id="rId54" Type="http://schemas.openxmlformats.org/officeDocument/2006/relationships/chart" Target="charts/chart42.xml"/><Relationship Id="rId62" Type="http://schemas.openxmlformats.org/officeDocument/2006/relationships/hyperlink" Target="http://www.nesk-elseti.ru/" TargetMode="External"/><Relationship Id="rId70" Type="http://schemas.openxmlformats.org/officeDocument/2006/relationships/hyperlink" Target="http://www.invest-timregion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2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2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2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2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2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3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4.xm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5.xm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6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7.xm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38.xm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39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2;&#1086;&#1083;&#1072;&#1081;\Desktop\&#1069;&#1082;&#1086;&#1085;&#1086;&#1084;&#1080;&#1089;&#1090;&#1072;&#1084;%20&#1088;&#1072;&#1079;&#1074;&#1080;&#1090;&#1080;&#1077;%20&#1082;&#1086;&#1085;&#1082;&#1091;&#1088;&#1077;&#1085;&#1094;&#1080;&#1080;\&#1044;&#1080;&#1072;&#1075;&#1088;&#1072;&#1084;&#1084;&#1099;.xlsx" TargetMode="External"/><Relationship Id="rId1" Type="http://schemas.openxmlformats.org/officeDocument/2006/relationships/themeOverride" Target="../theme/themeOverride40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45895304753572E-2"/>
          <c:y val="4.4057617797775277E-2"/>
          <c:w val="0.91454669728783899"/>
          <c:h val="0.827066929133858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51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708672"/>
        <c:axId val="95710208"/>
      </c:barChart>
      <c:catAx>
        <c:axId val="95708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5710208"/>
        <c:crosses val="autoZero"/>
        <c:auto val="1"/>
        <c:lblAlgn val="ctr"/>
        <c:lblOffset val="100"/>
        <c:noMultiLvlLbl val="0"/>
      </c:catAx>
      <c:valAx>
        <c:axId val="9571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708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726450860309196E-2"/>
          <c:y val="0.17104174478190268"/>
          <c:w val="0.76542742053076762"/>
          <c:h val="0.72954693163354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кратковременного воспитания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89</c:v>
                </c:pt>
                <c:pt idx="2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Группы семейного пребывания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93</c:v>
                </c:pt>
                <c:pt idx="1">
                  <c:v>128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68640"/>
        <c:axId val="115982720"/>
      </c:barChart>
      <c:catAx>
        <c:axId val="1159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982720"/>
        <c:crosses val="autoZero"/>
        <c:auto val="1"/>
        <c:lblAlgn val="ctr"/>
        <c:lblOffset val="100"/>
        <c:noMultiLvlLbl val="0"/>
      </c:catAx>
      <c:valAx>
        <c:axId val="11598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6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902739210738753"/>
          <c:y val="0"/>
          <c:w val="0.59795013546012066"/>
          <c:h val="0.162066820032294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Лист1!$B$6:$D$6</c:f>
              <c:strCache>
                <c:ptCount val="3"/>
                <c:pt idx="0">
                  <c:v>внебюджетные средства (тыс. руб)</c:v>
                </c:pt>
                <c:pt idx="1">
                  <c:v>муниципальный бюджет (тыс. руб)</c:v>
                </c:pt>
                <c:pt idx="2">
                  <c:v>краевой бюджет (тыс. руб)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28602.2</c:v>
                </c:pt>
                <c:pt idx="1">
                  <c:v>81881</c:v>
                </c:pt>
                <c:pt idx="2">
                  <c:v>469358.5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Лист1!$B$6:$D$6</c:f>
              <c:strCache>
                <c:ptCount val="3"/>
                <c:pt idx="0">
                  <c:v>внебюджетные средства (тыс. руб)</c:v>
                </c:pt>
                <c:pt idx="1">
                  <c:v>муниципальный бюджет (тыс. руб)</c:v>
                </c:pt>
                <c:pt idx="2">
                  <c:v>краевой бюджет (тыс. руб)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41178.699999999997</c:v>
                </c:pt>
                <c:pt idx="1">
                  <c:v>82143.5</c:v>
                </c:pt>
                <c:pt idx="2">
                  <c:v>315639</c:v>
                </c:pt>
              </c:numCache>
            </c:numRef>
          </c:val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Лист1!$B$6:$D$6</c:f>
              <c:strCache>
                <c:ptCount val="3"/>
                <c:pt idx="0">
                  <c:v>внебюджетные средства (тыс. руб)</c:v>
                </c:pt>
                <c:pt idx="1">
                  <c:v>муниципальный бюджет (тыс. руб)</c:v>
                </c:pt>
                <c:pt idx="2">
                  <c:v>краевой бюджет (тыс. руб)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39931</c:v>
                </c:pt>
                <c:pt idx="1">
                  <c:v>93861</c:v>
                </c:pt>
                <c:pt idx="2">
                  <c:v>329362.8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104192"/>
        <c:axId val="116110080"/>
      </c:barChart>
      <c:catAx>
        <c:axId val="116104192"/>
        <c:scaling>
          <c:orientation val="minMax"/>
        </c:scaling>
        <c:delete val="0"/>
        <c:axPos val="l"/>
        <c:majorTickMark val="out"/>
        <c:minorTickMark val="none"/>
        <c:tickLblPos val="nextTo"/>
        <c:crossAx val="116110080"/>
        <c:crosses val="autoZero"/>
        <c:auto val="1"/>
        <c:lblAlgn val="ctr"/>
        <c:lblOffset val="100"/>
        <c:noMultiLvlLbl val="0"/>
      </c:catAx>
      <c:valAx>
        <c:axId val="116110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104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Организация отдыха детей в </a:t>
            </a:r>
          </a:p>
          <a:p>
            <a:pPr>
              <a:defRPr/>
            </a:pPr>
            <a:r>
              <a:rPr lang="ru-RU" sz="1600"/>
              <a:t>МБУ ЗСЛОО</a:t>
            </a:r>
            <a:r>
              <a:rPr lang="ru-RU" sz="1600" baseline="0"/>
              <a:t> "Золотой колос"</a:t>
            </a:r>
            <a:endParaRPr lang="ru-RU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166032370953632"/>
          <c:y val="0.1762037037037037"/>
          <c:w val="0.45816666666666667"/>
          <c:h val="0.76361111111111113"/>
        </c:manualLayout>
      </c:layout>
      <c:doughnutChart>
        <c:varyColors val="1"/>
        <c:ser>
          <c:idx val="0"/>
          <c:order val="0"/>
          <c:tx>
            <c:strRef>
              <c:f>Лист1!$A$15</c:f>
              <c:strCache>
                <c:ptCount val="1"/>
                <c:pt idx="0">
                  <c:v>количество детей</c:v>
                </c:pt>
              </c:strCache>
            </c:strRef>
          </c:tx>
          <c:explosion val="31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Лист1!$B$14:$D$14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Лист1!$B$15:$D$15</c:f>
              <c:numCache>
                <c:formatCode>General</c:formatCode>
                <c:ptCount val="3"/>
                <c:pt idx="0">
                  <c:v>400</c:v>
                </c:pt>
                <c:pt idx="1">
                  <c:v>400</c:v>
                </c:pt>
                <c:pt idx="2">
                  <c:v>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Субсидии из краевого бюджета на организацию отдыха и оздоровления детей в МБУ ЗСЛОО "Золотой колос"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Лист1!$A$19</c:f>
              <c:strCache>
                <c:ptCount val="1"/>
                <c:pt idx="0">
                  <c:v>денежные средства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Лист1!$B$18:$D$18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Лист1!$B$19:$D$19</c:f>
              <c:numCache>
                <c:formatCode>#,##0.0</c:formatCode>
                <c:ptCount val="3"/>
                <c:pt idx="0">
                  <c:v>2952.6</c:v>
                </c:pt>
                <c:pt idx="1">
                  <c:v>3312</c:v>
                </c:pt>
                <c:pt idx="2">
                  <c:v>3152.3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7694464"/>
        <c:axId val="117696000"/>
        <c:axId val="0"/>
      </c:bar3DChart>
      <c:catAx>
        <c:axId val="11769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696000"/>
        <c:crosses val="autoZero"/>
        <c:auto val="1"/>
        <c:lblAlgn val="ctr"/>
        <c:lblOffset val="100"/>
        <c:noMultiLvlLbl val="0"/>
      </c:catAx>
      <c:valAx>
        <c:axId val="11769600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1769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Средства муниципального бюджета для организации летнего отдыха и оздоровления детей</a:t>
            </a:r>
            <a:r>
              <a:rPr lang="ru-RU" sz="1400" baseline="0"/>
              <a:t> в МБУ ЗСЛОО "Золотой колос"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Лист1!$A$23</c:f>
              <c:strCache>
                <c:ptCount val="1"/>
                <c:pt idx="0">
                  <c:v>денежные средства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Лист1!$B$22:$D$22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Лист1!$B$23:$D$23</c:f>
              <c:numCache>
                <c:formatCode>0.0</c:formatCode>
                <c:ptCount val="3"/>
                <c:pt idx="0">
                  <c:v>328.1</c:v>
                </c:pt>
                <c:pt idx="1">
                  <c:v>368</c:v>
                </c:pt>
                <c:pt idx="2">
                  <c:v>592.29999999999995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729536"/>
        <c:axId val="117731328"/>
        <c:axId val="0"/>
      </c:bar3DChart>
      <c:catAx>
        <c:axId val="1177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731328"/>
        <c:crosses val="autoZero"/>
        <c:auto val="1"/>
        <c:lblAlgn val="ctr"/>
        <c:lblOffset val="100"/>
        <c:noMultiLvlLbl val="0"/>
      </c:catAx>
      <c:valAx>
        <c:axId val="1177313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772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87332644025558"/>
          <c:y val="0.60817201695941858"/>
          <c:w val="0.27396505739812826"/>
          <c:h val="0.1132457096709065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/>
              <a:t>Количество объединений в организациях</a:t>
            </a:r>
            <a:r>
              <a:rPr lang="ru-RU" sz="1199" baseline="0"/>
              <a:t> дополнительного образования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Лист1!$G$2</c:f>
              <c:strCache>
                <c:ptCount val="1"/>
                <c:pt idx="0">
                  <c:v>количество объединений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Лист1!$H$1:$J$1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Лист1!$H$2:$J$2</c:f>
              <c:numCache>
                <c:formatCode>General</c:formatCode>
                <c:ptCount val="3"/>
                <c:pt idx="0">
                  <c:v>255</c:v>
                </c:pt>
                <c:pt idx="1">
                  <c:v>268</c:v>
                </c:pt>
                <c:pt idx="2">
                  <c:v>267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781248"/>
        <c:axId val="117782784"/>
        <c:axId val="0"/>
      </c:bar3DChart>
      <c:catAx>
        <c:axId val="1177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782784"/>
        <c:crosses val="autoZero"/>
        <c:auto val="1"/>
        <c:lblAlgn val="ctr"/>
        <c:lblOffset val="100"/>
        <c:noMultiLvlLbl val="0"/>
      </c:catAx>
      <c:valAx>
        <c:axId val="1177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81248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обучающихся в системе дополнительного образования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Лист1!$G$6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marker>
            <c:spPr>
              <a:solidFill>
                <a:schemeClr val="accent2">
                  <a:lumMod val="75000"/>
                </a:schemeClr>
              </a:solidFill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Лист1!$H$5:$J$5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Лист1!$H$6:$J$6</c:f>
              <c:numCache>
                <c:formatCode>#,##0</c:formatCode>
                <c:ptCount val="3"/>
                <c:pt idx="0">
                  <c:v>7367</c:v>
                </c:pt>
                <c:pt idx="1">
                  <c:v>7275</c:v>
                </c:pt>
                <c:pt idx="2">
                  <c:v>7266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32320"/>
        <c:axId val="117846400"/>
      </c:lineChart>
      <c:catAx>
        <c:axId val="11783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46400"/>
        <c:crosses val="autoZero"/>
        <c:auto val="1"/>
        <c:lblAlgn val="ctr"/>
        <c:lblOffset val="100"/>
        <c:noMultiLvlLbl val="0"/>
      </c:catAx>
      <c:valAx>
        <c:axId val="117846400"/>
        <c:scaling>
          <c:orientation val="minMax"/>
        </c:scaling>
        <c:delete val="0"/>
        <c:axPos val="l"/>
        <c:majorGridlines>
          <c:spPr>
            <a:ln>
              <a:solidFill>
                <a:srgbClr val="FF0000"/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117832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педагогов дополнительного образования в системе дополнительного образования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Лист1!$G$9</c:f>
              <c:strCache>
                <c:ptCount val="1"/>
                <c:pt idx="0">
                  <c:v>количество педагогов дополнительного образования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Лист1!$H$8:$J$8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Лист1!$H$9:$J$9</c:f>
              <c:numCache>
                <c:formatCode>General</c:formatCode>
                <c:ptCount val="3"/>
                <c:pt idx="0">
                  <c:v>228</c:v>
                </c:pt>
                <c:pt idx="1">
                  <c:v>208</c:v>
                </c:pt>
                <c:pt idx="2">
                  <c:v>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Средняя заработная плата педагогов доплнительного образования</a:t>
            </a:r>
          </a:p>
        </c:rich>
      </c:tx>
      <c:layout>
        <c:manualLayout>
          <c:xMode val="edge"/>
          <c:yMode val="edge"/>
          <c:x val="9.8370978781656404E-2"/>
          <c:y val="3.12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Лист1!$G$12</c:f>
              <c:strCache>
                <c:ptCount val="1"/>
                <c:pt idx="0">
                  <c:v>средняя заработная плата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Лист1!$H$11:$J$11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Лист1!$H$12:$J$12</c:f>
              <c:numCache>
                <c:formatCode>#,##0</c:formatCode>
                <c:ptCount val="3"/>
                <c:pt idx="0">
                  <c:v>17352</c:v>
                </c:pt>
                <c:pt idx="1">
                  <c:v>21187</c:v>
                </c:pt>
                <c:pt idx="2">
                  <c:v>22387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46112"/>
        <c:axId val="118347648"/>
        <c:axId val="0"/>
      </c:bar3DChart>
      <c:catAx>
        <c:axId val="118346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8347648"/>
        <c:crosses val="autoZero"/>
        <c:auto val="1"/>
        <c:lblAlgn val="ctr"/>
        <c:lblOffset val="100"/>
        <c:noMultiLvlLbl val="0"/>
      </c:catAx>
      <c:valAx>
        <c:axId val="118347648"/>
        <c:scaling>
          <c:orientation val="minMax"/>
        </c:scaling>
        <c:delete val="0"/>
        <c:axPos val="b"/>
        <c:majorGridlines>
          <c:spPr>
            <a:ln>
              <a:solidFill>
                <a:srgbClr val="00B0F0"/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118346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Дети с ОВЗ 2014 </c:v>
                </c:pt>
                <c:pt idx="1">
                  <c:v>Дети с ОВЗ 2015</c:v>
                </c:pt>
                <c:pt idx="2">
                  <c:v>Дети с ОВЗ 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181</c:v>
                </c:pt>
                <c:pt idx="1">
                  <c:v>234</c:v>
                </c:pt>
                <c:pt idx="2">
                  <c:v>556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Дети с ОВЗ 2014 </c:v>
                </c:pt>
                <c:pt idx="1">
                  <c:v>Дети с ОВЗ 2015</c:v>
                </c:pt>
                <c:pt idx="2">
                  <c:v>Дети с ОВЗ 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Дети с ОВЗ 2014 </c:v>
                </c:pt>
                <c:pt idx="1">
                  <c:v>Дети с ОВЗ 2015</c:v>
                </c:pt>
                <c:pt idx="2">
                  <c:v>Дети с ОВЗ 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664576"/>
        <c:axId val="118674560"/>
      </c:barChart>
      <c:catAx>
        <c:axId val="1186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674560"/>
        <c:crosses val="autoZero"/>
        <c:auto val="1"/>
        <c:lblAlgn val="ctr"/>
        <c:lblOffset val="100"/>
        <c:noMultiLvlLbl val="0"/>
      </c:catAx>
      <c:valAx>
        <c:axId val="11867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6645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4.2496995498379361E-2"/>
          <c:w val="0.56685720455829103"/>
          <c:h val="0.816067775127197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gradFill flip="none" rotWithShape="1">
                <a:gsLst>
                  <a:gs pos="0">
                    <a:schemeClr val="bg1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10200000" scaled="0"/>
                <a:tileRect/>
              </a:gradFill>
            </a:ln>
            <a:effectLst>
              <a:glow>
                <a:schemeClr val="accent1">
                  <a:alpha val="75000"/>
                </a:schemeClr>
              </a:glow>
              <a:softEdge rad="12700"/>
            </a:effectLst>
            <a:scene3d>
              <a:camera prst="orthographicFront"/>
              <a:lightRig rig="threePt" dir="t"/>
            </a:scene3d>
            <a:sp3d prstMaterial="dkEdge">
              <a:bevelT w="0"/>
            </a:sp3d>
          </c:spPr>
          <c:explosion val="11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9"/>
              <c:layout>
                <c:manualLayout>
                  <c:x val="6.5890201224847742E-3"/>
                  <c:y val="3.9311236158281512E-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НДФЛ</c:v>
                </c:pt>
                <c:pt idx="1">
                  <c:v>ЕСХН</c:v>
                </c:pt>
                <c:pt idx="2">
                  <c:v>ЕНВД</c:v>
                </c:pt>
                <c:pt idx="3">
                  <c:v>УСН</c:v>
                </c:pt>
                <c:pt idx="4">
                  <c:v>Госпошлина</c:v>
                </c:pt>
                <c:pt idx="5">
                  <c:v>Аренда земли</c:v>
                </c:pt>
                <c:pt idx="6">
                  <c:v>Аренда имущества</c:v>
                </c:pt>
                <c:pt idx="7">
                  <c:v>Негативное воздействие на окружающую среду</c:v>
                </c:pt>
                <c:pt idx="8">
                  <c:v>Штрафы</c:v>
                </c:pt>
                <c:pt idx="9">
                  <c:v>Доходы от продажи земельных участков</c:v>
                </c:pt>
                <c:pt idx="10">
                  <c:v>Прочие доходы</c:v>
                </c:pt>
                <c:pt idx="11">
                  <c:v>Налог на прибыль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54.3</c:v>
                </c:pt>
                <c:pt idx="1">
                  <c:v>3.7</c:v>
                </c:pt>
                <c:pt idx="2">
                  <c:v>7.4</c:v>
                </c:pt>
                <c:pt idx="3">
                  <c:v>2.4</c:v>
                </c:pt>
                <c:pt idx="4">
                  <c:v>2.6</c:v>
                </c:pt>
                <c:pt idx="5">
                  <c:v>4.0999999999999996</c:v>
                </c:pt>
                <c:pt idx="6">
                  <c:v>0.2</c:v>
                </c:pt>
                <c:pt idx="7">
                  <c:v>0.6</c:v>
                </c:pt>
                <c:pt idx="8">
                  <c:v>1.6</c:v>
                </c:pt>
                <c:pt idx="9">
                  <c:v>18.2</c:v>
                </c:pt>
                <c:pt idx="10">
                  <c:v>0.7</c:v>
                </c:pt>
                <c:pt idx="11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67"/>
      </c:pieChart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64465408805031443"/>
          <c:y val="0"/>
          <c:w val="0.35062893081761004"/>
          <c:h val="0.99596774193548387"/>
        </c:manualLayout>
      </c:layout>
      <c:overlay val="0"/>
      <c:spPr>
        <a:ln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spPr>
    <a:noFill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Дошкольники 2014</c:v>
                </c:pt>
                <c:pt idx="1">
                  <c:v>Дошкольники 2015</c:v>
                </c:pt>
                <c:pt idx="2">
                  <c:v>Дошкольники 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38</c:v>
                </c:pt>
                <c:pt idx="2">
                  <c:v>345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Дошкольники 2014</c:v>
                </c:pt>
                <c:pt idx="1">
                  <c:v>Дошкольники 2015</c:v>
                </c:pt>
                <c:pt idx="2">
                  <c:v>Дошкольники 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Дошкольники 2014</c:v>
                </c:pt>
                <c:pt idx="1">
                  <c:v>Дошкольники 2015</c:v>
                </c:pt>
                <c:pt idx="2">
                  <c:v>Дошкольники 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21152"/>
        <c:axId val="118727040"/>
      </c:barChart>
      <c:catAx>
        <c:axId val="11872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727040"/>
        <c:crosses val="autoZero"/>
        <c:auto val="1"/>
        <c:lblAlgn val="ctr"/>
        <c:lblOffset val="100"/>
        <c:noMultiLvlLbl val="0"/>
      </c:catAx>
      <c:valAx>
        <c:axId val="1187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7211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Школьники 2014</c:v>
                </c:pt>
                <c:pt idx="1">
                  <c:v>Школьники 2015</c:v>
                </c:pt>
                <c:pt idx="2">
                  <c:v>Школьники 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153</c:v>
                </c:pt>
                <c:pt idx="1">
                  <c:v>196</c:v>
                </c:pt>
                <c:pt idx="2">
                  <c:v>211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Школьники 2014</c:v>
                </c:pt>
                <c:pt idx="1">
                  <c:v>Школьники 2015</c:v>
                </c:pt>
                <c:pt idx="2">
                  <c:v>Школьники 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Школьники 2014</c:v>
                </c:pt>
                <c:pt idx="1">
                  <c:v>Школьники 2015</c:v>
                </c:pt>
                <c:pt idx="2">
                  <c:v>Школьники 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36224"/>
        <c:axId val="120437760"/>
      </c:barChart>
      <c:catAx>
        <c:axId val="1204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437760"/>
        <c:crosses val="autoZero"/>
        <c:auto val="1"/>
        <c:lblAlgn val="ctr"/>
        <c:lblOffset val="100"/>
        <c:noMultiLvlLbl val="0"/>
      </c:catAx>
      <c:valAx>
        <c:axId val="12043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436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обеспеченность клубами и учреждениями клубного типа в 2015 году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Лист1!$A$2:$A$11</c:f>
              <c:strCache>
                <c:ptCount val="10"/>
                <c:pt idx="0">
                  <c:v>Дербентское СП</c:v>
                </c:pt>
                <c:pt idx="1">
                  <c:v>Днепровское СП</c:v>
                </c:pt>
                <c:pt idx="2">
                  <c:v>Медведовское СП</c:v>
                </c:pt>
                <c:pt idx="3">
                  <c:v>Незаймановское СП</c:v>
                </c:pt>
                <c:pt idx="4">
                  <c:v>Новокорсунское СП</c:v>
                </c:pt>
                <c:pt idx="5">
                  <c:v>Новоленинское СП</c:v>
                </c:pt>
                <c:pt idx="6">
                  <c:v>Поселковое СП</c:v>
                </c:pt>
                <c:pt idx="7">
                  <c:v>Роговское СП</c:v>
                </c:pt>
                <c:pt idx="8">
                  <c:v>СП Кубанец</c:v>
                </c:pt>
                <c:pt idx="9">
                  <c:v>Тимашевское ГП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70.466914924090517</c:v>
                </c:pt>
                <c:pt idx="1">
                  <c:v>107.53676470588236</c:v>
                </c:pt>
                <c:pt idx="2">
                  <c:v>92.213265201239309</c:v>
                </c:pt>
                <c:pt idx="3">
                  <c:v>114.24219345011424</c:v>
                </c:pt>
                <c:pt idx="4">
                  <c:v>97.761455054214764</c:v>
                </c:pt>
                <c:pt idx="5">
                  <c:v>65.37728139471534</c:v>
                </c:pt>
                <c:pt idx="6">
                  <c:v>41.413583655438984</c:v>
                </c:pt>
                <c:pt idx="7">
                  <c:v>92.999384110039003</c:v>
                </c:pt>
                <c:pt idx="8">
                  <c:v>93.00595238095238</c:v>
                </c:pt>
                <c:pt idx="9">
                  <c:v>74.610822363013256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0148736"/>
        <c:axId val="120150272"/>
      </c:barChart>
      <c:catAx>
        <c:axId val="12014873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0150272"/>
        <c:crosses val="autoZero"/>
        <c:auto val="1"/>
        <c:lblAlgn val="ctr"/>
        <c:lblOffset val="100"/>
        <c:noMultiLvlLbl val="0"/>
      </c:catAx>
      <c:valAx>
        <c:axId val="120150272"/>
        <c:scaling>
          <c:orientation val="minMax"/>
        </c:scaling>
        <c:delete val="0"/>
        <c:axPos val="b"/>
        <c:numFmt formatCode="0.0" sourceLinked="1"/>
        <c:majorTickMark val="none"/>
        <c:minorTickMark val="none"/>
        <c:tickLblPos val="nextTo"/>
        <c:crossAx val="120148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фактической обеспеченности библиотечными</a:t>
            </a:r>
            <a:r>
              <a:rPr lang="ru-RU" sz="1400" baseline="0"/>
              <a:t> учреждениями от нормативной потребности,%</a:t>
            </a:r>
            <a:endParaRPr lang="ru-RU" sz="1400"/>
          </a:p>
        </c:rich>
      </c:tx>
      <c:layout>
        <c:manualLayout>
          <c:xMode val="edge"/>
          <c:yMode val="edge"/>
          <c:x val="0.10597805482648003"/>
          <c:y val="3.18091451292246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448108048993876"/>
          <c:y val="0.26213473315835523"/>
          <c:w val="0.69375966025080193"/>
          <c:h val="0.6942144731908511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Лист1!$A$2:$A$11</c:f>
              <c:strCache>
                <c:ptCount val="10"/>
                <c:pt idx="0">
                  <c:v>Дербентское СП</c:v>
                </c:pt>
                <c:pt idx="1">
                  <c:v>Днепровское СП</c:v>
                </c:pt>
                <c:pt idx="2">
                  <c:v>Медведовское СП</c:v>
                </c:pt>
                <c:pt idx="3">
                  <c:v>Незаймановское СП</c:v>
                </c:pt>
                <c:pt idx="4">
                  <c:v>Новокорсунское СП</c:v>
                </c:pt>
                <c:pt idx="5">
                  <c:v>Новоленинское СП</c:v>
                </c:pt>
                <c:pt idx="6">
                  <c:v>Поселковое СП</c:v>
                </c:pt>
                <c:pt idx="7">
                  <c:v>Роговское СП</c:v>
                </c:pt>
                <c:pt idx="8">
                  <c:v>СП Кубанец</c:v>
                </c:pt>
                <c:pt idx="9">
                  <c:v>Тимашевское ГП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100</c:v>
                </c:pt>
                <c:pt idx="1">
                  <c:v>50</c:v>
                </c:pt>
                <c:pt idx="2">
                  <c:v>83.333333333333343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83.333333333333343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0287616"/>
        <c:axId val="120289152"/>
        <c:axId val="0"/>
      </c:bar3DChart>
      <c:catAx>
        <c:axId val="120287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0289152"/>
        <c:crosses val="autoZero"/>
        <c:auto val="1"/>
        <c:lblAlgn val="ctr"/>
        <c:lblOffset val="100"/>
        <c:noMultiLvlLbl val="0"/>
      </c:catAx>
      <c:valAx>
        <c:axId val="12028915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20287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Клубные формирования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число клубных формирований</c:v>
                </c:pt>
                <c:pt idx="1">
                  <c:v>число участников в них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233</c:v>
                </c:pt>
                <c:pt idx="1">
                  <c:v>6504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число клубных формирований</c:v>
                </c:pt>
                <c:pt idx="1">
                  <c:v>число участников в них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239</c:v>
                </c:pt>
                <c:pt idx="1">
                  <c:v>6712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число клубных формирований</c:v>
                </c:pt>
                <c:pt idx="1">
                  <c:v>число участников в них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239</c:v>
                </c:pt>
                <c:pt idx="1">
                  <c:v>6764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323456"/>
        <c:axId val="120341632"/>
        <c:axId val="0"/>
      </c:bar3DChart>
      <c:catAx>
        <c:axId val="12032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341632"/>
        <c:crosses val="autoZero"/>
        <c:auto val="1"/>
        <c:lblAlgn val="ctr"/>
        <c:lblOffset val="100"/>
        <c:noMultiLvlLbl val="0"/>
      </c:catAx>
      <c:valAx>
        <c:axId val="120341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323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старшего поколения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1286</c:v>
                </c:pt>
                <c:pt idx="1">
                  <c:v>1295</c:v>
                </c:pt>
                <c:pt idx="2">
                  <c:v>1295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для молодежи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2443</c:v>
                </c:pt>
                <c:pt idx="1">
                  <c:v>2374</c:v>
                </c:pt>
                <c:pt idx="2">
                  <c:v>2409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для детей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4381</c:v>
                </c:pt>
                <c:pt idx="1">
                  <c:v>4417</c:v>
                </c:pt>
                <c:pt idx="2">
                  <c:v>4462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0480896"/>
        <c:axId val="120482432"/>
        <c:axId val="0"/>
      </c:bar3DChart>
      <c:catAx>
        <c:axId val="12048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0482432"/>
        <c:crosses val="autoZero"/>
        <c:auto val="1"/>
        <c:lblAlgn val="ctr"/>
        <c:lblOffset val="100"/>
        <c:noMultiLvlLbl val="0"/>
      </c:catAx>
      <c:valAx>
        <c:axId val="120482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04808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сеансы</c:v>
                </c:pt>
                <c:pt idx="1">
                  <c:v>количество зрителей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2198</c:v>
                </c:pt>
                <c:pt idx="1">
                  <c:v>58700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сеансы</c:v>
                </c:pt>
                <c:pt idx="1">
                  <c:v>количество зрителей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2230</c:v>
                </c:pt>
                <c:pt idx="1">
                  <c:v>59470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сеансы</c:v>
                </c:pt>
                <c:pt idx="1">
                  <c:v>количество зрителей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2263</c:v>
                </c:pt>
                <c:pt idx="1">
                  <c:v>60340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0522240"/>
        <c:axId val="120523776"/>
      </c:barChart>
      <c:catAx>
        <c:axId val="120522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523776"/>
        <c:crosses val="autoZero"/>
        <c:auto val="1"/>
        <c:lblAlgn val="ctr"/>
        <c:lblOffset val="100"/>
        <c:noMultiLvlLbl val="0"/>
      </c:catAx>
      <c:valAx>
        <c:axId val="120523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05222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Основные показатели работы библиотек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33900</c:v>
                </c:pt>
                <c:pt idx="1">
                  <c:v>33965</c:v>
                </c:pt>
                <c:pt idx="2">
                  <c:v>34436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Посещения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263071</c:v>
                </c:pt>
                <c:pt idx="1">
                  <c:v>265313</c:v>
                </c:pt>
                <c:pt idx="2">
                  <c:v>272150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Книговыдача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721148</c:v>
                </c:pt>
                <c:pt idx="1">
                  <c:v>722369</c:v>
                </c:pt>
                <c:pt idx="2">
                  <c:v>731358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1919360"/>
        <c:axId val="121920896"/>
      </c:barChart>
      <c:catAx>
        <c:axId val="12191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1920896"/>
        <c:crosses val="autoZero"/>
        <c:auto val="1"/>
        <c:lblAlgn val="ctr"/>
        <c:lblOffset val="100"/>
        <c:noMultiLvlLbl val="0"/>
      </c:catAx>
      <c:valAx>
        <c:axId val="121920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191936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Общий доход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2653.2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Общий доход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Общий доход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2628.4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649792"/>
        <c:axId val="121663872"/>
        <c:axId val="0"/>
      </c:bar3DChart>
      <c:catAx>
        <c:axId val="12164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1663872"/>
        <c:crosses val="autoZero"/>
        <c:auto val="1"/>
        <c:lblAlgn val="ctr"/>
        <c:lblOffset val="100"/>
        <c:noMultiLvlLbl val="0"/>
      </c:catAx>
      <c:valAx>
        <c:axId val="12166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649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объектов розничной торговли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1818181818182E-2"/>
                  <c:y val="-4.2813937248669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69696969696971E-2"/>
                  <c:y val="-3.0581039755351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45454545454545E-2"/>
                  <c:y val="-1.8348623853210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1320</c:v>
                </c:pt>
                <c:pt idx="1">
                  <c:v>1345</c:v>
                </c:pt>
                <c:pt idx="2">
                  <c:v>1357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688832"/>
        <c:axId val="121690368"/>
        <c:axId val="121907840"/>
      </c:bar3DChart>
      <c:catAx>
        <c:axId val="121688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690368"/>
        <c:crosses val="autoZero"/>
        <c:auto val="1"/>
        <c:lblAlgn val="ctr"/>
        <c:lblOffset val="100"/>
        <c:noMultiLvlLbl val="0"/>
      </c:catAx>
      <c:valAx>
        <c:axId val="1216903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1688832"/>
        <c:crosses val="autoZero"/>
        <c:crossBetween val="between"/>
      </c:valAx>
      <c:serAx>
        <c:axId val="12190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69036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66666666666666"/>
          <c:y val="4.8484848484848485E-2"/>
          <c:w val="0.73113207547169812"/>
          <c:h val="0.557575757575757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99FF"/>
            </a:solidFill>
            <a:ln w="25258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99CC"/>
              </a:solidFill>
              <a:ln w="25258">
                <a:noFill/>
              </a:ln>
            </c:spPr>
          </c:dPt>
          <c:dPt>
            <c:idx val="2"/>
            <c:bubble3D val="0"/>
            <c:spPr>
              <a:solidFill>
                <a:srgbClr val="FFCC00"/>
              </a:solidFill>
              <a:ln w="25258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258">
                <a:noFill/>
              </a:ln>
            </c:spPr>
          </c:dPt>
          <c:dPt>
            <c:idx val="4"/>
            <c:bubble3D val="0"/>
            <c:spPr>
              <a:solidFill>
                <a:srgbClr val="993366"/>
              </a:solidFill>
              <a:ln w="25258">
                <a:noFill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25258">
                <a:noFill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25258">
                <a:noFill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25258">
                <a:noFill/>
              </a:ln>
            </c:spPr>
          </c:dPt>
          <c:dPt>
            <c:idx val="8"/>
            <c:bubble3D val="0"/>
            <c:spPr>
              <a:solidFill>
                <a:srgbClr val="99CCFF"/>
              </a:solidFill>
              <a:ln w="25258">
                <a:noFill/>
              </a:ln>
            </c:spPr>
          </c:dPt>
          <c:dLbls>
            <c:dLbl>
              <c:idx val="8"/>
              <c:numFmt formatCode="0%" sourceLinked="0"/>
              <c:spPr>
                <a:noFill/>
                <a:ln w="25258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258">
                <a:noFill/>
              </a:ln>
            </c:spPr>
            <c:txPr>
              <a:bodyPr/>
              <a:lstStyle/>
              <a:p>
                <a:pPr>
                  <a:defRPr sz="11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Здравоохранение</c:v>
                </c:pt>
                <c:pt idx="4">
                  <c:v>Социальная политика</c:v>
                </c:pt>
                <c:pt idx="5">
                  <c:v>ЖКХ</c:v>
                </c:pt>
                <c:pt idx="6">
                  <c:v>Национальная экономика</c:v>
                </c:pt>
                <c:pt idx="7">
                  <c:v>Межбюджетные трансфертв</c:v>
                </c:pt>
                <c:pt idx="8">
                  <c:v>Прочие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1221.4000000000001</c:v>
                </c:pt>
                <c:pt idx="1">
                  <c:v>55.5</c:v>
                </c:pt>
                <c:pt idx="2">
                  <c:v>23</c:v>
                </c:pt>
                <c:pt idx="3">
                  <c:v>58.3</c:v>
                </c:pt>
                <c:pt idx="4">
                  <c:v>114.4</c:v>
                </c:pt>
                <c:pt idx="5">
                  <c:v>16.2</c:v>
                </c:pt>
                <c:pt idx="6">
                  <c:v>38.5</c:v>
                </c:pt>
                <c:pt idx="7">
                  <c:v>14.3</c:v>
                </c:pt>
                <c:pt idx="8">
                  <c:v>189.8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258">
          <a:noFill/>
        </a:ln>
      </c:spPr>
    </c:plotArea>
    <c:legend>
      <c:legendPos val="b"/>
      <c:layout/>
      <c:overlay val="0"/>
      <c:spPr>
        <a:noFill/>
        <a:ln w="25258">
          <a:noFill/>
        </a:ln>
      </c:spPr>
      <c:txPr>
        <a:bodyPr/>
        <a:lstStyle/>
        <a:p>
          <a:pPr>
            <a:defRPr sz="10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Оборот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розничной торговли,  млрд.  руб.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год 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13.316000000000001</c:v>
                </c:pt>
                <c:pt idx="1">
                  <c:v>14.196999999999999</c:v>
                </c:pt>
                <c:pt idx="2">
                  <c:v>15.236000000000001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774464"/>
        <c:axId val="121776000"/>
        <c:axId val="121676672"/>
      </c:bar3DChart>
      <c:catAx>
        <c:axId val="121774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776000"/>
        <c:crosses val="autoZero"/>
        <c:auto val="1"/>
        <c:lblAlgn val="ctr"/>
        <c:lblOffset val="100"/>
        <c:noMultiLvlLbl val="0"/>
      </c:catAx>
      <c:valAx>
        <c:axId val="12177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774464"/>
        <c:crosses val="autoZero"/>
        <c:crossBetween val="between"/>
      </c:valAx>
      <c:serAx>
        <c:axId val="12167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21776000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Оборот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розничной торговли в общем объёме оборота хозяйствующих субъектов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2015 год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</c:v>
                </c:pt>
                <c:pt idx="1">
                  <c:v>0.182</c:v>
                </c:pt>
                <c:pt idx="2">
                  <c:v>0.19600000000000001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1806208"/>
        <c:axId val="121808000"/>
        <c:axId val="0"/>
      </c:bar3DChart>
      <c:catAx>
        <c:axId val="121806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808000"/>
        <c:crosses val="autoZero"/>
        <c:auto val="1"/>
        <c:lblAlgn val="ctr"/>
        <c:lblOffset val="100"/>
        <c:noMultiLvlLbl val="0"/>
      </c:catAx>
      <c:valAx>
        <c:axId val="1218080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18062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Непродовольственные торговые площади, кв.м.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норма обеспеченности</c:v>
                </c:pt>
                <c:pt idx="1">
                  <c:v>фактическая обеспеченность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306.7</c:v>
                </c:pt>
                <c:pt idx="1">
                  <c:v>497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Продовольственные торговые площади кв.м.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норма обеспеченности</c:v>
                </c:pt>
                <c:pt idx="1">
                  <c:v>фактическая обеспеченность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160.1</c:v>
                </c:pt>
                <c:pt idx="1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95168"/>
        <c:axId val="121974784"/>
      </c:barChart>
      <c:catAx>
        <c:axId val="12189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974784"/>
        <c:crosses val="autoZero"/>
        <c:auto val="1"/>
        <c:lblAlgn val="ctr"/>
        <c:lblOffset val="100"/>
        <c:noMultiLvlLbl val="0"/>
      </c:catAx>
      <c:valAx>
        <c:axId val="12197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895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5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5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консультаций хозяйствующих субъектов в сфере торговли</a:t>
            </a:r>
            <a:endParaRPr lang="ru-RU" sz="15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</c:v>
                </c:pt>
                <c:pt idx="1">
                  <c:v>333</c:v>
                </c:pt>
                <c:pt idx="2">
                  <c:v>364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982336"/>
        <c:axId val="122004608"/>
      </c:lineChart>
      <c:catAx>
        <c:axId val="121982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004608"/>
        <c:crosses val="autoZero"/>
        <c:auto val="1"/>
        <c:lblAlgn val="ctr"/>
        <c:lblOffset val="100"/>
        <c:noMultiLvlLbl val="0"/>
      </c:catAx>
      <c:valAx>
        <c:axId val="12200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982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рынком розничной торговли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неудовлетворены</c:v>
                </c:pt>
                <c:pt idx="1">
                  <c:v>скорее неудовлетворены</c:v>
                </c:pt>
                <c:pt idx="2">
                  <c:v>скорее удовлетворены</c:v>
                </c:pt>
                <c:pt idx="3">
                  <c:v>удовлетворены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1.4E-2</c:v>
                </c:pt>
                <c:pt idx="1">
                  <c:v>2.8000000000000001E-2</c:v>
                </c:pt>
                <c:pt idx="2" formatCode="0%">
                  <c:v>0.19</c:v>
                </c:pt>
                <c:pt idx="3">
                  <c:v>0.76800000000000002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5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опроса о количестве</a:t>
            </a:r>
            <a:r>
              <a:rPr lang="ru-RU" sz="15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объектов розничной торговли на территории района</a:t>
            </a:r>
            <a:endParaRPr lang="ru-RU" sz="15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избыточно</c:v>
                </c:pt>
                <c:pt idx="2">
                  <c:v>мало</c:v>
                </c:pt>
                <c:pt idx="3">
                  <c:v>нет совсем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0.504</c:v>
                </c:pt>
                <c:pt idx="1">
                  <c:v>0.44400000000000001</c:v>
                </c:pt>
                <c:pt idx="2">
                  <c:v>4.7E-2</c:v>
                </c:pt>
                <c:pt idx="3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372096"/>
        <c:axId val="122373632"/>
      </c:barChart>
      <c:catAx>
        <c:axId val="1223720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373632"/>
        <c:crosses val="autoZero"/>
        <c:auto val="1"/>
        <c:lblAlgn val="ctr"/>
        <c:lblOffset val="100"/>
        <c:noMultiLvlLbl val="0"/>
      </c:catAx>
      <c:valAx>
        <c:axId val="12237363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22372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Пассажирооборот, тыс. человек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Лист4!$C$11:$E$11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Лист4!$C$12:$E$12</c:f>
              <c:numCache>
                <c:formatCode>General</c:formatCode>
                <c:ptCount val="3"/>
                <c:pt idx="0">
                  <c:v>3850</c:v>
                </c:pt>
                <c:pt idx="1">
                  <c:v>3816</c:v>
                </c:pt>
                <c:pt idx="2">
                  <c:v>3808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3D-46B3-9B4B-6DA1D779BC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094336"/>
        <c:axId val="122097024"/>
      </c:barChart>
      <c:catAx>
        <c:axId val="12209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097024"/>
        <c:crosses val="autoZero"/>
        <c:auto val="1"/>
        <c:lblAlgn val="ctr"/>
        <c:lblOffset val="100"/>
        <c:noMultiLvlLbl val="0"/>
      </c:catAx>
      <c:valAx>
        <c:axId val="1220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09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Объем работ и услуг, выполненный крупными и средними организациями транспорта, млн.руб.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Лист4!$C$32:$E$32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Лист4!$C$33:$E$33</c:f>
              <c:numCache>
                <c:formatCode>General</c:formatCode>
                <c:ptCount val="3"/>
                <c:pt idx="0">
                  <c:v>1157</c:v>
                </c:pt>
                <c:pt idx="1">
                  <c:v>900</c:v>
                </c:pt>
                <c:pt idx="2">
                  <c:v>1691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18-4132-A05E-8E09A8E738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112640"/>
        <c:axId val="122131968"/>
      </c:barChart>
      <c:catAx>
        <c:axId val="12211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131968"/>
        <c:crosses val="autoZero"/>
        <c:auto val="1"/>
        <c:lblAlgn val="ctr"/>
        <c:lblOffset val="100"/>
        <c:noMultiLvlLbl val="0"/>
      </c:catAx>
      <c:valAx>
        <c:axId val="12213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11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Насыщенность рынка услуг перевозок пассажиров наземным транспортом, чел.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Лист5!$B$4</c:f>
              <c:strCache>
                <c:ptCount val="1"/>
                <c:pt idx="0">
                  <c:v>насыщенность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32-48DC-8B68-B1C6615088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32-48DC-8B68-B1C6615088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832-48DC-8B68-B1C6615088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832-48DC-8B68-B1C6615088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Лист5!$C$3:$F$3</c:f>
              <c:strCache>
                <c:ptCount val="4"/>
                <c:pt idx="0">
                  <c:v>Много</c:v>
                </c:pt>
                <c:pt idx="1">
                  <c:v>Достаточно </c:v>
                </c:pt>
                <c:pt idx="2">
                  <c:v>Мало</c:v>
                </c:pt>
                <c:pt idx="3">
                  <c:v>Нет совсем</c:v>
                </c:pt>
              </c:strCache>
            </c:strRef>
          </c:cat>
          <c:val>
            <c:numRef>
              <c:f>Лист5!$C$4:$F$4</c:f>
              <c:numCache>
                <c:formatCode>General</c:formatCode>
                <c:ptCount val="4"/>
                <c:pt idx="0">
                  <c:v>164</c:v>
                </c:pt>
                <c:pt idx="1">
                  <c:v>393</c:v>
                </c:pt>
                <c:pt idx="2">
                  <c:v>143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832-48DC-8B68-B1C6615088A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4851159230096239"/>
          <c:y val="0.8546012980469132"/>
          <c:w val="0.70297659667541557"/>
          <c:h val="0.122476065849934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рынком услуг перевозок пассажиров наземным транспортом, чел.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0F-4AAD-83B9-7B746D1B34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0F-4AAD-83B9-7B746D1B34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0F-4AAD-83B9-7B746D1B34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0F-4AAD-83B9-7B746D1B34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Лист5!$C$11:$F$11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Лист5!$C$12:$F$12</c:f>
              <c:numCache>
                <c:formatCode>General</c:formatCode>
                <c:ptCount val="4"/>
                <c:pt idx="0">
                  <c:v>437</c:v>
                </c:pt>
                <c:pt idx="1">
                  <c:v>147</c:v>
                </c:pt>
                <c:pt idx="2">
                  <c:v>80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0F-4AAD-83B9-7B746D1B340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351660474480976E-2"/>
          <c:y val="0"/>
          <c:w val="0.87787836461962721"/>
          <c:h val="0.81057494502376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Лист1!$A$2:$A$6</c:f>
              <c:strCache>
                <c:ptCount val="5"/>
                <c:pt idx="0">
                  <c:v>Субсидии</c:v>
                </c:pt>
                <c:pt idx="1">
                  <c:v>Выполнение муниципальных функций</c:v>
                </c:pt>
                <c:pt idx="2">
                  <c:v>Социальное обеспечение</c:v>
                </c:pt>
                <c:pt idx="3">
                  <c:v>Иные расходы</c:v>
                </c:pt>
                <c:pt idx="4">
                  <c:v>Бюджетные инвестиции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14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52">
          <a:noFill/>
        </a:ln>
      </c:spPr>
    </c:plotArea>
    <c:plotVisOnly val="1"/>
    <c:dispBlanksAs val="zero"/>
    <c:showDLblsOverMax val="0"/>
  </c:chart>
  <c:txPr>
    <a:bodyPr/>
    <a:lstStyle/>
    <a:p>
      <a:pPr>
        <a:defRPr sz="1790"/>
      </a:pPr>
      <a:endParaRPr lang="ru-RU"/>
    </a:p>
  </c:txPr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Объем работ и услуг, выполненный организациями связи, млн. руб.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Лист6!$B$4:$D$4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Лист6!$B$5:$D$5</c:f>
              <c:numCache>
                <c:formatCode>General</c:formatCode>
                <c:ptCount val="3"/>
                <c:pt idx="0">
                  <c:v>110</c:v>
                </c:pt>
                <c:pt idx="1">
                  <c:v>147</c:v>
                </c:pt>
                <c:pt idx="2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8D-4214-9B50-195D1967DD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5820800"/>
        <c:axId val="126956672"/>
      </c:barChart>
      <c:catAx>
        <c:axId val="1158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956672"/>
        <c:crosses val="autoZero"/>
        <c:auto val="1"/>
        <c:lblAlgn val="ctr"/>
        <c:lblOffset val="100"/>
        <c:noMultiLvlLbl val="0"/>
      </c:catAx>
      <c:valAx>
        <c:axId val="1269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82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Насыщенность рынка услуг связи, чел.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5-42C7-95F1-ABF1CA0635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55-42C7-95F1-ABF1CA0635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55-42C7-95F1-ABF1CA0635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955-42C7-95F1-ABF1CA0635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Лист7!$C$4:$F$4</c:f>
              <c:strCache>
                <c:ptCount val="4"/>
                <c:pt idx="0">
                  <c:v>Много</c:v>
                </c:pt>
                <c:pt idx="1">
                  <c:v>Достаточно </c:v>
                </c:pt>
                <c:pt idx="2">
                  <c:v>Мало</c:v>
                </c:pt>
                <c:pt idx="3">
                  <c:v>Нет совсем</c:v>
                </c:pt>
              </c:strCache>
            </c:strRef>
          </c:cat>
          <c:val>
            <c:numRef>
              <c:f>Лист7!$C$5:$F$5</c:f>
              <c:numCache>
                <c:formatCode>General</c:formatCode>
                <c:ptCount val="4"/>
                <c:pt idx="0">
                  <c:v>146</c:v>
                </c:pt>
                <c:pt idx="1">
                  <c:v>449</c:v>
                </c:pt>
                <c:pt idx="2">
                  <c:v>104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955-42C7-95F1-ABF1CA06359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8.2474349797184446E-2"/>
          <c:y val="0.85450330936893759"/>
          <c:w val="0.83505130040563114"/>
          <c:h val="0.1237575601962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Удовлетворенность рынка услуг связи, чел.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6A-4F13-B7B8-D60D9956FB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6A-4F13-B7B8-D60D9956FB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6A-4F13-B7B8-D60D9956FB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26A-4F13-B7B8-D60D9956FB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Лист7!$C$9:$F$9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Лист7!$C$10:$F$10</c:f>
              <c:numCache>
                <c:formatCode>General</c:formatCode>
                <c:ptCount val="4"/>
                <c:pt idx="0">
                  <c:v>487</c:v>
                </c:pt>
                <c:pt idx="1">
                  <c:v>139</c:v>
                </c:pt>
                <c:pt idx="2">
                  <c:v>61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26A-4F13-B7B8-D60D9956FB4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Лист1!$B$5</c:f>
              <c:strCache>
                <c:ptCount val="1"/>
                <c:pt idx="0">
                  <c:v>Удовлетворенность качеством услуг водоснабжения и водоотведения, 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DE-4594-850F-408CB96261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DE-4594-850F-408CB96261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DE-4594-850F-408CB96261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DE-4594-850F-408CB96261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Лист1!$C$4:$F$4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Лист1!$C$5:$F$5</c:f>
              <c:numCache>
                <c:formatCode>General</c:formatCode>
                <c:ptCount val="4"/>
                <c:pt idx="0">
                  <c:v>431</c:v>
                </c:pt>
                <c:pt idx="1">
                  <c:v>132</c:v>
                </c:pt>
                <c:pt idx="2">
                  <c:v>86</c:v>
                </c:pt>
                <c:pt idx="3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DE-4594-850F-408CB96261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Лист1!$B$10</c:f>
              <c:strCache>
                <c:ptCount val="1"/>
                <c:pt idx="0">
                  <c:v>Удовлетворенность качеством услуг водоочиски, 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06-443B-B32A-C995EAEC01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06-443B-B32A-C995EAEC01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06-443B-B32A-C995EAEC01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06-443B-B32A-C995EAEC01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Лист1!$C$9:$F$9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Лист1!$C$10:$F$10</c:f>
              <c:numCache>
                <c:formatCode>General</c:formatCode>
                <c:ptCount val="4"/>
                <c:pt idx="0">
                  <c:v>404</c:v>
                </c:pt>
                <c:pt idx="1">
                  <c:v>141</c:v>
                </c:pt>
                <c:pt idx="2">
                  <c:v>88</c:v>
                </c:pt>
                <c:pt idx="3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06-443B-B32A-C995EAEC018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Лист1!$B$16</c:f>
              <c:strCache>
                <c:ptCount val="1"/>
                <c:pt idx="0">
                  <c:v>Удовлетворенность качеством услуг газоснабжения, чел.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3C-4213-A5C9-2CEB3E3B35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3C-4213-A5C9-2CEB3E3B35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3C-4213-A5C9-2CEB3E3B35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3C-4213-A5C9-2CEB3E3B35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Лист1!$C$15:$F$15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Лист1!$C$16:$F$16</c:f>
              <c:numCache>
                <c:formatCode>General</c:formatCode>
                <c:ptCount val="4"/>
                <c:pt idx="0">
                  <c:v>490</c:v>
                </c:pt>
                <c:pt idx="1">
                  <c:v>141</c:v>
                </c:pt>
                <c:pt idx="2">
                  <c:v>46</c:v>
                </c:pt>
                <c:pt idx="3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83C-4213-A5C9-2CEB3E3B35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Лист1!$B$23</c:f>
              <c:strCache>
                <c:ptCount val="1"/>
                <c:pt idx="0">
                  <c:v>Удовлетворенность качеством услуг электроснабжения, чел.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E3-4FDF-A079-73D266E6D8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E3-4FDF-A079-73D266E6D8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E3-4FDF-A079-73D266E6D8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E3-4FDF-A079-73D266E6D8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Лист1!$C$22:$F$22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Лист1!$C$23:$F$23</c:f>
              <c:numCache>
                <c:formatCode>General</c:formatCode>
                <c:ptCount val="4"/>
                <c:pt idx="0">
                  <c:v>485</c:v>
                </c:pt>
                <c:pt idx="1">
                  <c:v>148</c:v>
                </c:pt>
                <c:pt idx="2">
                  <c:v>51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1E3-4FDF-A079-73D266E6D8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Лист1!$B$29</c:f>
              <c:strCache>
                <c:ptCount val="1"/>
                <c:pt idx="0">
                  <c:v>Удовлетворенность качеством услуг теплоснабжения, 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C1-4299-AFD6-0824580ED5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C1-4299-AFD6-0824580ED5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C1-4299-AFD6-0824580ED5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C1-4299-AFD6-0824580ED5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Лист1!$C$28:$F$28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Лист1!$C$29:$F$29</c:f>
              <c:numCache>
                <c:formatCode>General</c:formatCode>
                <c:ptCount val="4"/>
                <c:pt idx="0">
                  <c:v>454</c:v>
                </c:pt>
                <c:pt idx="1">
                  <c:v>150</c:v>
                </c:pt>
                <c:pt idx="2">
                  <c:v>61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DC1-4299-AFD6-0824580ED52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Лист1!$B$34</c:f>
              <c:strCache>
                <c:ptCount val="1"/>
                <c:pt idx="0">
                  <c:v>Удовлетворенность качеством услуг телефонной связи, чел.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F9-4BEF-8E8E-3C5C7E09A7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F9-4BEF-8E8E-3C5C7E09A7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F9-4BEF-8E8E-3C5C7E09A7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F9-4BEF-8E8E-3C5C7E09A7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Лист1!$C$33:$F$33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Лист1!$C$34:$F$34</c:f>
              <c:numCache>
                <c:formatCode>General</c:formatCode>
                <c:ptCount val="4"/>
                <c:pt idx="0">
                  <c:v>500</c:v>
                </c:pt>
                <c:pt idx="1">
                  <c:v>124</c:v>
                </c:pt>
                <c:pt idx="2">
                  <c:v>57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2F9-4BEF-8E8E-3C5C7E09A7A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Динамика изменения уровня тарифов, руб.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Лист3!$B$7</c:f>
              <c:strCache>
                <c:ptCount val="1"/>
                <c:pt idx="0">
                  <c:v>Водоснабжение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Лист3!$C$5:$H$6</c:f>
              <c:multiLvlStrCache>
                <c:ptCount val="6"/>
                <c:lvl>
                  <c:pt idx="0">
                    <c:v>1 полугодие</c:v>
                  </c:pt>
                  <c:pt idx="1">
                    <c:v>2 полугодие</c:v>
                  </c:pt>
                  <c:pt idx="2">
                    <c:v>1 полугодие</c:v>
                  </c:pt>
                  <c:pt idx="3">
                    <c:v>2 полугодие</c:v>
                  </c:pt>
                  <c:pt idx="4">
                    <c:v>1 полугодие</c:v>
                  </c:pt>
                  <c:pt idx="5">
                    <c:v>2 полугодие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Лист3!$C$7:$H$7</c:f>
              <c:numCache>
                <c:formatCode>General</c:formatCode>
                <c:ptCount val="6"/>
                <c:pt idx="0">
                  <c:v>29.72</c:v>
                </c:pt>
                <c:pt idx="1">
                  <c:v>29.82</c:v>
                </c:pt>
                <c:pt idx="2">
                  <c:v>29.82</c:v>
                </c:pt>
                <c:pt idx="3">
                  <c:v>33.67</c:v>
                </c:pt>
                <c:pt idx="4">
                  <c:v>33.67</c:v>
                </c:pt>
                <c:pt idx="5">
                  <c:v>35.07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41-4C9E-AEC4-79BAF82D4436}"/>
            </c:ext>
          </c:extLst>
        </c:ser>
        <c:ser>
          <c:idx val="1"/>
          <c:order val="1"/>
          <c:tx>
            <c:strRef>
              <c:f>Лист3!$B$8</c:f>
              <c:strCache>
                <c:ptCount val="1"/>
                <c:pt idx="0">
                  <c:v>Водоотведение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Лист3!$C$5:$H$6</c:f>
              <c:multiLvlStrCache>
                <c:ptCount val="6"/>
                <c:lvl>
                  <c:pt idx="0">
                    <c:v>1 полугодие</c:v>
                  </c:pt>
                  <c:pt idx="1">
                    <c:v>2 полугодие</c:v>
                  </c:pt>
                  <c:pt idx="2">
                    <c:v>1 полугодие</c:v>
                  </c:pt>
                  <c:pt idx="3">
                    <c:v>2 полугодие</c:v>
                  </c:pt>
                  <c:pt idx="4">
                    <c:v>1 полугодие</c:v>
                  </c:pt>
                  <c:pt idx="5">
                    <c:v>2 полугодие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Лист3!$C$8:$H$8</c:f>
              <c:numCache>
                <c:formatCode>General</c:formatCode>
                <c:ptCount val="6"/>
                <c:pt idx="0">
                  <c:v>31.39</c:v>
                </c:pt>
                <c:pt idx="1">
                  <c:v>32.909999999999997</c:v>
                </c:pt>
                <c:pt idx="2">
                  <c:v>32.909999999999997</c:v>
                </c:pt>
                <c:pt idx="3">
                  <c:v>38.880000000000003</c:v>
                </c:pt>
                <c:pt idx="4">
                  <c:v>38.880000000000003</c:v>
                </c:pt>
                <c:pt idx="5">
                  <c:v>40.409999999999997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41-4C9E-AEC4-79BAF82D4436}"/>
            </c:ext>
          </c:extLst>
        </c:ser>
        <c:ser>
          <c:idx val="2"/>
          <c:order val="2"/>
          <c:tx>
            <c:strRef>
              <c:f>Лист3!$B$9</c:f>
              <c:strCache>
                <c:ptCount val="1"/>
                <c:pt idx="0">
                  <c:v>Газоснабжение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Лист3!$C$5:$H$6</c:f>
              <c:multiLvlStrCache>
                <c:ptCount val="6"/>
                <c:lvl>
                  <c:pt idx="0">
                    <c:v>1 полугодие</c:v>
                  </c:pt>
                  <c:pt idx="1">
                    <c:v>2 полугодие</c:v>
                  </c:pt>
                  <c:pt idx="2">
                    <c:v>1 полугодие</c:v>
                  </c:pt>
                  <c:pt idx="3">
                    <c:v>2 полугодие</c:v>
                  </c:pt>
                  <c:pt idx="4">
                    <c:v>1 полугодие</c:v>
                  </c:pt>
                  <c:pt idx="5">
                    <c:v>2 полугодие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Лист3!$C$9:$H$9</c:f>
              <c:numCache>
                <c:formatCode>General</c:formatCode>
                <c:ptCount val="6"/>
                <c:pt idx="0">
                  <c:v>5.05</c:v>
                </c:pt>
                <c:pt idx="1">
                  <c:v>5.27</c:v>
                </c:pt>
                <c:pt idx="2">
                  <c:v>5.27</c:v>
                </c:pt>
                <c:pt idx="3">
                  <c:v>5.65</c:v>
                </c:pt>
                <c:pt idx="4">
                  <c:v>5.65</c:v>
                </c:pt>
                <c:pt idx="5">
                  <c:v>5.81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41-4C9E-AEC4-79BAF82D4436}"/>
            </c:ext>
          </c:extLst>
        </c:ser>
        <c:ser>
          <c:idx val="3"/>
          <c:order val="3"/>
          <c:tx>
            <c:strRef>
              <c:f>Лист3!$B$10</c:f>
              <c:strCache>
                <c:ptCount val="1"/>
                <c:pt idx="0">
                  <c:v>Электроснабжение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Лист3!$C$5:$H$6</c:f>
              <c:multiLvlStrCache>
                <c:ptCount val="6"/>
                <c:lvl>
                  <c:pt idx="0">
                    <c:v>1 полугодие</c:v>
                  </c:pt>
                  <c:pt idx="1">
                    <c:v>2 полугодие</c:v>
                  </c:pt>
                  <c:pt idx="2">
                    <c:v>1 полугодие</c:v>
                  </c:pt>
                  <c:pt idx="3">
                    <c:v>2 полугодие</c:v>
                  </c:pt>
                  <c:pt idx="4">
                    <c:v>1 полугодие</c:v>
                  </c:pt>
                  <c:pt idx="5">
                    <c:v>2 полугодие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Лист3!$C$10:$H$10</c:f>
              <c:numCache>
                <c:formatCode>General</c:formatCode>
                <c:ptCount val="6"/>
                <c:pt idx="0">
                  <c:v>3.62</c:v>
                </c:pt>
                <c:pt idx="1">
                  <c:v>3.76</c:v>
                </c:pt>
                <c:pt idx="2">
                  <c:v>3.76</c:v>
                </c:pt>
                <c:pt idx="3">
                  <c:v>4.12</c:v>
                </c:pt>
                <c:pt idx="4">
                  <c:v>4.12</c:v>
                </c:pt>
                <c:pt idx="5">
                  <c:v>4.28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41-4C9E-AEC4-79BAF82D44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27108992"/>
        <c:axId val="127110528"/>
      </c:barChart>
      <c:catAx>
        <c:axId val="127108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110528"/>
        <c:crosses val="autoZero"/>
        <c:auto val="1"/>
        <c:lblAlgn val="ctr"/>
        <c:lblOffset val="100"/>
        <c:noMultiLvlLbl val="0"/>
      </c:catAx>
      <c:valAx>
        <c:axId val="127110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710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737265238365621E-2"/>
          <c:y val="7.5833240012318434E-2"/>
          <c:w val="0.60582855522087808"/>
          <c:h val="0.92388854671183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soft" dir="t"/>
            </a:scene3d>
            <a:sp3d prstMaterial="matte">
              <a:bevelT w="165100" prst="coolSlant"/>
              <a:bevelB/>
            </a:sp3d>
          </c:spPr>
          <c:explosion val="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0"/>
              <c:layout>
                <c:manualLayout>
                  <c:x val="-4.3715541023994714E-3"/>
                  <c:y val="-0.117776953442145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972432819195751E-2"/>
                  <c:y val="6.88884067303118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43401110397762E-2"/>
                  <c:y val="6.88884067303118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44441333743945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571847007998223E-3"/>
                  <c:y val="7.33328200677511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400585811197511E-2"/>
                  <c:y val="-1.10681640023516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788680222079558E-2"/>
                  <c:y val="-1.77776533497578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400585811197511E-2"/>
                  <c:y val="6.88884067303118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143694015996438E-2"/>
                  <c:y val="5.77773733867129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3715541023994714E-3"/>
                  <c:y val="-2.22220666871973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600878716796412E-2"/>
                  <c:y val="6.22217867241523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5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НДФЛ</c:v>
                </c:pt>
                <c:pt idx="1">
                  <c:v>ЕНВД</c:v>
                </c:pt>
                <c:pt idx="2">
                  <c:v>ЕСХН</c:v>
                </c:pt>
                <c:pt idx="3">
                  <c:v>Госпошлина</c:v>
                </c:pt>
                <c:pt idx="4">
                  <c:v>Аренда земли</c:v>
                </c:pt>
                <c:pt idx="5">
                  <c:v>Аренда имущества</c:v>
                </c:pt>
                <c:pt idx="6">
                  <c:v>Негативное воздействие на окружающую среду</c:v>
                </c:pt>
                <c:pt idx="7">
                  <c:v>Штрафы </c:v>
                </c:pt>
                <c:pt idx="8">
                  <c:v>Доходы от продажи земельный участков</c:v>
                </c:pt>
                <c:pt idx="9">
                  <c:v>Прочие доходы</c:v>
                </c:pt>
                <c:pt idx="10">
                  <c:v>Налог на прибыль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68.5</c:v>
                </c:pt>
                <c:pt idx="1">
                  <c:v>9.9</c:v>
                </c:pt>
                <c:pt idx="2">
                  <c:v>3.4</c:v>
                </c:pt>
                <c:pt idx="3">
                  <c:v>2.2000000000000002</c:v>
                </c:pt>
                <c:pt idx="4">
                  <c:v>4.0999999999999996</c:v>
                </c:pt>
                <c:pt idx="5">
                  <c:v>0.2</c:v>
                </c:pt>
                <c:pt idx="6">
                  <c:v>0.6</c:v>
                </c:pt>
                <c:pt idx="7">
                  <c:v>1.8</c:v>
                </c:pt>
                <c:pt idx="8">
                  <c:v>2.2000000000000002</c:v>
                </c:pt>
                <c:pt idx="9">
                  <c:v>0.5</c:v>
                </c:pt>
                <c:pt idx="10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cat>
            <c:strRef>
              <c:f>Лист1!$A$2:$A$12</c:f>
              <c:strCache>
                <c:ptCount val="11"/>
                <c:pt idx="0">
                  <c:v>НДФЛ</c:v>
                </c:pt>
                <c:pt idx="1">
                  <c:v>ЕНВД</c:v>
                </c:pt>
                <c:pt idx="2">
                  <c:v>ЕСХН</c:v>
                </c:pt>
                <c:pt idx="3">
                  <c:v>Госпошлина</c:v>
                </c:pt>
                <c:pt idx="4">
                  <c:v>Аренда земли</c:v>
                </c:pt>
                <c:pt idx="5">
                  <c:v>Аренда имущества</c:v>
                </c:pt>
                <c:pt idx="6">
                  <c:v>Негативное воздействие на окружающую среду</c:v>
                </c:pt>
                <c:pt idx="7">
                  <c:v>Штрафы </c:v>
                </c:pt>
                <c:pt idx="8">
                  <c:v>Доходы от продажи земельный участков</c:v>
                </c:pt>
                <c:pt idx="9">
                  <c:v>Прочие доходы</c:v>
                </c:pt>
                <c:pt idx="10">
                  <c:v>Налог на прибыль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76.2</c:v>
                </c:pt>
                <c:pt idx="1">
                  <c:v>7.9</c:v>
                </c:pt>
                <c:pt idx="2">
                  <c:v>2.6</c:v>
                </c:pt>
                <c:pt idx="3">
                  <c:v>1.2</c:v>
                </c:pt>
                <c:pt idx="4">
                  <c:v>3.6</c:v>
                </c:pt>
                <c:pt idx="5">
                  <c:v>0.2</c:v>
                </c:pt>
                <c:pt idx="6">
                  <c:v>0.7</c:v>
                </c:pt>
                <c:pt idx="7">
                  <c:v>1.4</c:v>
                </c:pt>
                <c:pt idx="8">
                  <c:v>3.2</c:v>
                </c:pt>
                <c:pt idx="9">
                  <c:v>0.3</c:v>
                </c:pt>
                <c:pt idx="10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7"/>
      </c:pieChart>
      <c:spPr>
        <a:noFill/>
        <a:ln w="12814">
          <a:noFill/>
        </a:ln>
      </c:spPr>
    </c:plotArea>
    <c:legend>
      <c:legendPos val="r"/>
      <c:layout>
        <c:manualLayout>
          <c:xMode val="edge"/>
          <c:yMode val="edge"/>
          <c:x val="0.62406815761448353"/>
          <c:y val="0"/>
          <c:w val="0.32055378061767836"/>
          <c:h val="0.93510815307820294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w="6407"/>
  </c:spPr>
  <c:txPr>
    <a:bodyPr/>
    <a:lstStyle/>
    <a:p>
      <a:pPr>
        <a:defRPr sz="908"/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изменения уровня тарифов на услуги теплоснабжения, руб.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Лист3!$B$16</c:f>
              <c:strCache>
                <c:ptCount val="1"/>
                <c:pt idx="0">
                  <c:v>Теплоснабжение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Лист3!$C$14:$H$15</c:f>
              <c:multiLvlStrCache>
                <c:ptCount val="6"/>
                <c:lvl>
                  <c:pt idx="0">
                    <c:v>1 полугодие</c:v>
                  </c:pt>
                  <c:pt idx="1">
                    <c:v>2 полугодие</c:v>
                  </c:pt>
                  <c:pt idx="2">
                    <c:v>1 полугодие</c:v>
                  </c:pt>
                  <c:pt idx="3">
                    <c:v>2 полугодие</c:v>
                  </c:pt>
                  <c:pt idx="4">
                    <c:v>1 полугодие</c:v>
                  </c:pt>
                  <c:pt idx="5">
                    <c:v>2 полугодие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Лист3!$C$16:$H$16</c:f>
              <c:numCache>
                <c:formatCode>General</c:formatCode>
                <c:ptCount val="6"/>
                <c:pt idx="0">
                  <c:v>2415.7399999999998</c:v>
                </c:pt>
                <c:pt idx="1">
                  <c:v>2525.7399999999998</c:v>
                </c:pt>
                <c:pt idx="2">
                  <c:v>2525.7399999999998</c:v>
                </c:pt>
                <c:pt idx="3">
                  <c:v>2733.73</c:v>
                </c:pt>
                <c:pt idx="4">
                  <c:v>2733.73</c:v>
                </c:pt>
                <c:pt idx="5">
                  <c:v>2845.68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A4-484D-B340-B100B83414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193856"/>
        <c:axId val="127195392"/>
      </c:barChart>
      <c:catAx>
        <c:axId val="12719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195392"/>
        <c:crosses val="autoZero"/>
        <c:auto val="1"/>
        <c:lblAlgn val="ctr"/>
        <c:lblOffset val="100"/>
        <c:noMultiLvlLbl val="0"/>
      </c:catAx>
      <c:valAx>
        <c:axId val="12719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19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45319335083085E-2"/>
          <c:y val="8.0890655766772748E-2"/>
          <c:w val="0.56417519685039375"/>
          <c:h val="0.830045054742429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0.16450792869641295"/>
                  <c:y val="-0.1494186905259560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72,6%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mtClean="0"/>
                      <a:t>2,</a:t>
                    </a:r>
                    <a:r>
                      <a:rPr lang="ru-RU" smtClean="0"/>
                      <a:t>6%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288111675214386E-2"/>
                  <c:y val="-7.262567866655875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2,9%</a:t>
                    </a:r>
                    <a:endParaRPr lang="en-US" dirty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5,8%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mtClean="0"/>
                      <a:t>1,8</a:t>
                    </a:r>
                    <a:r>
                      <a:rPr lang="ru-RU" smtClean="0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0,0%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9,3%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mtClean="0"/>
                      <a:t>2,2%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mtClean="0"/>
                      <a:t>2,5</a:t>
                    </a:r>
                    <a:r>
                      <a:rPr lang="ru-RU" smtClean="0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9"/>
                <c:pt idx="0">
                  <c:v>Образование</c:v>
                </c:pt>
                <c:pt idx="1">
                  <c:v>Культура</c:v>
                </c:pt>
                <c:pt idx="2">
                  <c:v>Здравоохранение</c:v>
                </c:pt>
                <c:pt idx="3">
                  <c:v>Социальная политика</c:v>
                </c:pt>
                <c:pt idx="4">
                  <c:v>Физическая культура</c:v>
                </c:pt>
                <c:pt idx="5">
                  <c:v>Жилищно-коммунальное хозяйство</c:v>
                </c:pt>
                <c:pt idx="6">
                  <c:v>Общегосударственные вопросы</c:v>
                </c:pt>
                <c:pt idx="7">
                  <c:v>Национальная экономика</c:v>
                </c:pt>
                <c:pt idx="8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70.2</c:v>
                </c:pt>
                <c:pt idx="1">
                  <c:v>2.5</c:v>
                </c:pt>
                <c:pt idx="2">
                  <c:v>5.6</c:v>
                </c:pt>
                <c:pt idx="3">
                  <c:v>4.7</c:v>
                </c:pt>
                <c:pt idx="4">
                  <c:v>1.8</c:v>
                </c:pt>
                <c:pt idx="5">
                  <c:v>2.7</c:v>
                </c:pt>
                <c:pt idx="6">
                  <c:v>8.5</c:v>
                </c:pt>
                <c:pt idx="7">
                  <c:v>1.5</c:v>
                </c:pt>
                <c:pt idx="8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625">
          <a:noFill/>
        </a:ln>
      </c:spPr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107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984737056382802E-2"/>
          <c:y val="6.6372754750399473E-3"/>
          <c:w val="0.61187841618807559"/>
          <c:h val="0.90659735992658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gradFill flip="none" rotWithShape="1">
                <a:gsLst>
                  <a:gs pos="0">
                    <a:schemeClr val="bg1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10200000" scaled="0"/>
                <a:tileRect/>
              </a:gradFill>
            </a:ln>
            <a:effectLst>
              <a:glow>
                <a:schemeClr val="accent1">
                  <a:alpha val="75000"/>
                </a:schemeClr>
              </a:glow>
              <a:softEdge rad="12700"/>
            </a:effectLst>
            <a:scene3d>
              <a:camera prst="orthographicFront"/>
              <a:lightRig rig="threePt" dir="t"/>
            </a:scene3d>
            <a:sp3d prstMaterial="dkEdge">
              <a:bevelT w="0"/>
            </a:sp3d>
          </c:spPr>
          <c:explosion val="11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9"/>
              <c:layout>
                <c:manualLayout>
                  <c:x val="6.5890201224847109E-3"/>
                  <c:y val="3.9311236158281444E-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НДФЛ</c:v>
                </c:pt>
                <c:pt idx="1">
                  <c:v>ЕСХН</c:v>
                </c:pt>
                <c:pt idx="2">
                  <c:v>ЕНВД</c:v>
                </c:pt>
                <c:pt idx="3">
                  <c:v>Госпошлина</c:v>
                </c:pt>
                <c:pt idx="4">
                  <c:v>Аренда земли</c:v>
                </c:pt>
                <c:pt idx="5">
                  <c:v>Аренда имущества</c:v>
                </c:pt>
                <c:pt idx="6">
                  <c:v>Негативное воздействие на окружающую среду</c:v>
                </c:pt>
                <c:pt idx="7">
                  <c:v>Штрафы</c:v>
                </c:pt>
                <c:pt idx="8">
                  <c:v>Доходы от продажи земельных участков</c:v>
                </c:pt>
                <c:pt idx="9">
                  <c:v>Прочие доходы</c:v>
                </c:pt>
                <c:pt idx="10">
                  <c:v>Налог на прибыль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74</c:v>
                </c:pt>
                <c:pt idx="1">
                  <c:v>2.2999999999999998</c:v>
                </c:pt>
                <c:pt idx="2">
                  <c:v>10.199999999999999</c:v>
                </c:pt>
                <c:pt idx="3">
                  <c:v>1.7</c:v>
                </c:pt>
                <c:pt idx="4">
                  <c:v>3.3</c:v>
                </c:pt>
                <c:pt idx="5">
                  <c:v>0.3</c:v>
                </c:pt>
                <c:pt idx="6">
                  <c:v>0.8</c:v>
                </c:pt>
                <c:pt idx="7">
                  <c:v>1.8</c:v>
                </c:pt>
                <c:pt idx="8">
                  <c:v>1.1000000000000001</c:v>
                </c:pt>
                <c:pt idx="9">
                  <c:v>0.5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67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4144736842105265"/>
          <c:y val="0"/>
          <c:w val="0.35032894736842102"/>
          <c:h val="0.99513381995133821"/>
        </c:manualLayout>
      </c:layout>
      <c:overlay val="0"/>
      <c:spPr>
        <a:ln>
          <a:noFill/>
        </a:ln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62871927554967"/>
          <c:y val="0.33827160493827202"/>
          <c:w val="0.56015523932729661"/>
          <c:h val="0.424691358024691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0000"/>
            </a:solidFill>
            <a:ln w="12907">
              <a:solidFill>
                <a:schemeClr val="tx1"/>
              </a:solidFill>
              <a:prstDash val="solid"/>
            </a:ln>
          </c:spPr>
          <c:explosion val="85"/>
          <c:dPt>
            <c:idx val="0"/>
            <c:bubble3D val="0"/>
          </c:dPt>
          <c:dPt>
            <c:idx val="1"/>
            <c:bubble3D val="0"/>
            <c:spPr>
              <a:solidFill>
                <a:srgbClr val="FFCC00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00FF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8000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6600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00FF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-0.10011655023195123"/>
                  <c:y val="4.096852614083778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Социальная сфера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86,2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 </a:t>
                    </a: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89032512554432E-2"/>
                  <c:y val="0.24119071847210541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ЖКХ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2,0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757607755677939"/>
                  <c:y val="6.2362898801340619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Общегосударственные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вопросы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8,4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37357293252855145"/>
                  <c:y val="-0.11881563129547518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Межбюджетные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трансферты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0,5%</a:t>
                    </a:r>
                    <a:endParaRPr lang="ru-RU" sz="1200" baseline="0" dirty="0">
                      <a:solidFill>
                        <a:srgbClr val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9059584603947638"/>
                  <c:y val="-0.22236314609870098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Национальная 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экономика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1,4%</a:t>
                    </a:r>
                    <a:endParaRPr lang="ru-RU" sz="1200" baseline="0" dirty="0">
                      <a:solidFill>
                        <a:srgbClr val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459256899245976E-2"/>
                  <c:y val="-0.24807863689694951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Национальная  оборона 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и 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безопасность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0,3</a:t>
                    </a: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236702319724487"/>
                  <c:y val="-0.18672622258777474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Охрана окружающей среды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0,007%</a:t>
                    </a:r>
                    <a:endParaRPr lang="ru-RU" sz="1200" baseline="0" dirty="0">
                      <a:solidFill>
                        <a:srgbClr val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7538197320710633"/>
                  <c:y val="8.6078715665738159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Средства массовой информации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0,3%</a:t>
                    </a:r>
                    <a:endParaRPr lang="ru-RU" sz="1200" baseline="0" dirty="0">
                      <a:solidFill>
                        <a:srgbClr val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5417225138881685"/>
                  <c:y val="0.38094916722888444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ahoma"/>
                        <a:cs typeface="Times New Roman" pitchFamily="18" charset="0"/>
                      </a:defRPr>
                    </a:pPr>
                    <a:r>
                      <a:rPr lang="ru-RU" sz="1200" baseline="0" dirty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Обслуживание муниципального долга
</a:t>
                    </a:r>
                    <a:r>
                      <a:rPr lang="ru-RU" sz="1200" baseline="0" dirty="0" smtClean="0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0,9%</a:t>
                    </a:r>
                    <a:endParaRPr lang="ru-RU" sz="1200" baseline="0" dirty="0">
                      <a:solidFill>
                        <a:srgbClr val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581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813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ahom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rgbClr val="000000"/>
                  </a:solidFill>
                </a:ln>
              </c:spPr>
            </c:leaderLines>
          </c:dLbls>
          <c:cat>
            <c:strRef>
              <c:f>Sheet1!$B$1:$J$1</c:f>
              <c:strCache>
                <c:ptCount val="9"/>
                <c:pt idx="0">
                  <c:v>Социальная сфера</c:v>
                </c:pt>
                <c:pt idx="1">
                  <c:v>ЖКХ</c:v>
                </c:pt>
                <c:pt idx="2">
                  <c:v>Общегосударствен-ные вопросы</c:v>
                </c:pt>
                <c:pt idx="3">
                  <c:v>Межбюджетные трансферты</c:v>
                </c:pt>
                <c:pt idx="4">
                  <c:v>Национальная экономика</c:v>
                </c:pt>
                <c:pt idx="5">
                  <c:v>Национальная оборона и безопастность</c:v>
                </c:pt>
                <c:pt idx="6">
                  <c:v>Охрана окружающей среды</c:v>
                </c:pt>
                <c:pt idx="7">
                  <c:v>Средства массовой информации</c:v>
                </c:pt>
                <c:pt idx="8">
                  <c:v>Обслуживание муниципального долга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82.3</c:v>
                </c:pt>
                <c:pt idx="1">
                  <c:v>3.6</c:v>
                </c:pt>
                <c:pt idx="2">
                  <c:v>9.8000000000000007</c:v>
                </c:pt>
                <c:pt idx="3">
                  <c:v>1.2</c:v>
                </c:pt>
                <c:pt idx="4">
                  <c:v>1.6</c:v>
                </c:pt>
                <c:pt idx="5">
                  <c:v>0.5</c:v>
                </c:pt>
                <c:pt idx="6">
                  <c:v>0.3</c:v>
                </c:pt>
                <c:pt idx="7">
                  <c:v>0.5</c:v>
                </c:pt>
                <c:pt idx="8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chemeClr val="accent2"/>
            </a:solidFill>
            <a:ln w="12907">
              <a:solidFill>
                <a:schemeClr val="tx1"/>
              </a:solidFill>
              <a:prstDash val="solid"/>
            </a:ln>
          </c:spPr>
          <c:explosion val="85"/>
          <c:dPt>
            <c:idx val="0"/>
            <c:bubble3D val="0"/>
            <c:spPr>
              <a:solidFill>
                <a:schemeClr val="accent1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chemeClr val="hlink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chemeClr val="folHlink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2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chemeClr val="tx2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00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813">
                <a:noFill/>
              </a:ln>
            </c:spPr>
            <c:txPr>
              <a:bodyPr/>
              <a:lstStyle/>
              <a:p>
                <a:pPr>
                  <a:defRPr sz="1830" b="1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rgbClr val="000000"/>
                  </a:solidFill>
                </a:ln>
              </c:spPr>
            </c:leaderLines>
          </c:dLbls>
          <c:cat>
            <c:strRef>
              <c:f>Sheet1!$B$1:$J$1</c:f>
              <c:strCache>
                <c:ptCount val="9"/>
                <c:pt idx="0">
                  <c:v>Социальная сфера</c:v>
                </c:pt>
                <c:pt idx="1">
                  <c:v>ЖКХ</c:v>
                </c:pt>
                <c:pt idx="2">
                  <c:v>Общегосударствен-ные вопросы</c:v>
                </c:pt>
                <c:pt idx="3">
                  <c:v>Межбюджетные трансферты</c:v>
                </c:pt>
                <c:pt idx="4">
                  <c:v>Национальная экономика</c:v>
                </c:pt>
                <c:pt idx="5">
                  <c:v>Национальная оборона и безопастность</c:v>
                </c:pt>
                <c:pt idx="6">
                  <c:v>Охрана окружающей среды</c:v>
                </c:pt>
                <c:pt idx="7">
                  <c:v>Средства массовой информации</c:v>
                </c:pt>
                <c:pt idx="8">
                  <c:v>Обслуживание муниципального долга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chemeClr val="hlink"/>
            </a:solidFill>
            <a:ln w="12907">
              <a:solidFill>
                <a:schemeClr val="tx1"/>
              </a:solidFill>
              <a:prstDash val="solid"/>
            </a:ln>
          </c:spPr>
          <c:explosion val="85"/>
          <c:dPt>
            <c:idx val="0"/>
            <c:bubble3D val="0"/>
            <c:spPr>
              <a:solidFill>
                <a:schemeClr val="accent1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accent2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chemeClr val="folHlink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2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chemeClr val="tx2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00"/>
              </a:solidFill>
              <a:ln w="12907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813">
                <a:noFill/>
              </a:ln>
            </c:spPr>
            <c:txPr>
              <a:bodyPr/>
              <a:lstStyle/>
              <a:p>
                <a:pPr>
                  <a:defRPr sz="1830" b="1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rgbClr val="000000"/>
                  </a:solidFill>
                </a:ln>
              </c:spPr>
            </c:leaderLines>
          </c:dLbls>
          <c:cat>
            <c:strRef>
              <c:f>Sheet1!$B$1:$J$1</c:f>
              <c:strCache>
                <c:ptCount val="9"/>
                <c:pt idx="0">
                  <c:v>Социальная сфера</c:v>
                </c:pt>
                <c:pt idx="1">
                  <c:v>ЖКХ</c:v>
                </c:pt>
                <c:pt idx="2">
                  <c:v>Общегосударствен-ные вопросы</c:v>
                </c:pt>
                <c:pt idx="3">
                  <c:v>Межбюджетные трансферты</c:v>
                </c:pt>
                <c:pt idx="4">
                  <c:v>Национальная экономика</c:v>
                </c:pt>
                <c:pt idx="5">
                  <c:v>Национальная оборона и безопастность</c:v>
                </c:pt>
                <c:pt idx="6">
                  <c:v>Охрана окружающей среды</c:v>
                </c:pt>
                <c:pt idx="7">
                  <c:v>Средства массовой информации</c:v>
                </c:pt>
                <c:pt idx="8">
                  <c:v>Обслуживание муниципального долга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45.9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solidFill>
        <a:schemeClr val="tx2">
          <a:lumMod val="90000"/>
        </a:schemeClr>
      </a:solidFill>
    </a:ln>
  </c:spPr>
  <c:txPr>
    <a:bodyPr/>
    <a:lstStyle/>
    <a:p>
      <a:pPr>
        <a:defRPr sz="1830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созданных рабочих мест</a:t>
            </a:r>
            <a:endParaRPr lang="ru-RU"/>
          </a:p>
        </c:rich>
      </c:tx>
      <c:layout>
        <c:manualLayout>
          <c:xMode val="edge"/>
          <c:yMode val="edge"/>
          <c:x val="0.1162565096029663"/>
          <c:y val="6.611570247933884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727272727272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00123001230012E-2"/>
                  <c:y val="-9.2121212121212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9200492004920051E-3"/>
                  <c:y val="-0.305454545454545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64</c:v>
                </c:pt>
                <c:pt idx="2">
                  <c:v>735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954432"/>
        <c:axId val="115955968"/>
        <c:axId val="0"/>
      </c:bar3DChart>
      <c:catAx>
        <c:axId val="11595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955968"/>
        <c:crosses val="autoZero"/>
        <c:auto val="1"/>
        <c:lblAlgn val="ctr"/>
        <c:lblOffset val="100"/>
        <c:noMultiLvlLbl val="0"/>
      </c:catAx>
      <c:valAx>
        <c:axId val="1159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54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0.2763</cdr:x>
      <cdr:y>0.74531</cdr:y>
    </cdr:from>
    <cdr:to>
      <cdr:x>0.88844</cdr:x>
      <cdr:y>0.78925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088" y="2448272"/>
          <a:ext cx="1728192" cy="144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0.1571</cdr:x>
      <cdr:y>0.74022</cdr:y>
    </cdr:from>
    <cdr:to>
      <cdr:x>0.9905</cdr:x>
      <cdr:y>0.86968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46937" y="2558200"/>
          <a:ext cx="3344038" cy="451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0.17449</cdr:x>
      <cdr:y>0.82621</cdr:y>
    </cdr:from>
    <cdr:to>
      <cdr:x>0.9905</cdr:x>
      <cdr:y>0.94181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81612" y="2592288"/>
          <a:ext cx="2658748" cy="36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0.17278</cdr:x>
      <cdr:y>0.89398</cdr:y>
    </cdr:from>
    <cdr:to>
      <cdr:x>0.9905</cdr:x>
      <cdr:y>0.98575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76064" y="2808312"/>
          <a:ext cx="2664296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1C61-4AC3-4D23-BF2C-2F51482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87</Pages>
  <Words>25442</Words>
  <Characters>145023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Georgiy R. Grusha</dc:creator>
  <cp:lastModifiedBy>Economist</cp:lastModifiedBy>
  <cp:revision>82</cp:revision>
  <cp:lastPrinted>2017-01-31T06:10:00Z</cp:lastPrinted>
  <dcterms:created xsi:type="dcterms:W3CDTF">2017-01-31T06:11:00Z</dcterms:created>
  <dcterms:modified xsi:type="dcterms:W3CDTF">2017-02-21T09:04:00Z</dcterms:modified>
</cp:coreProperties>
</file>