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4" w:rsidRDefault="002D7F2F">
      <w:pPr>
        <w:rPr>
          <w:rFonts w:ascii="Cambria" w:hAnsi="Cambria" w:cs="Cambria"/>
          <w:color w:val="202124"/>
          <w:spacing w:val="2"/>
          <w:shd w:val="clear" w:color="auto" w:fill="FFFFFF"/>
        </w:rPr>
      </w:pPr>
      <w:r>
        <w:rPr>
          <w:rFonts w:ascii="Cambria" w:hAnsi="Cambria" w:cs="Cambria"/>
          <w:noProof/>
          <w:color w:val="202124"/>
          <w:spacing w:val="2"/>
          <w:shd w:val="clear" w:color="auto" w:fill="FFFFFF"/>
        </w:rPr>
        <w:drawing>
          <wp:inline distT="0" distB="0" distL="0" distR="0">
            <wp:extent cx="6104890" cy="8709960"/>
            <wp:effectExtent l="19050" t="0" r="0" b="0"/>
            <wp:docPr id="3" name="Рисунок 3" descr="C:\Users\STP\Pictures\ControlCenter4\Scan\CCI0209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P\Pictures\ControlCenter4\Scan\CCI0209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70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C57850" w:rsidRDefault="00C57850" w:rsidP="00C57850">
      <w:pPr>
        <w:ind w:left="260"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C57850">
        <w:rPr>
          <w:rFonts w:eastAsia="Times New Roman"/>
          <w:b/>
          <w:bCs/>
          <w:sz w:val="32"/>
          <w:szCs w:val="32"/>
        </w:rPr>
        <w:t>План мероприятий по организации питания обучающихся</w:t>
      </w:r>
    </w:p>
    <w:p w:rsidR="00C57850" w:rsidRPr="00C57850" w:rsidRDefault="00C57850" w:rsidP="00C57850">
      <w:pPr>
        <w:ind w:left="260"/>
        <w:jc w:val="center"/>
        <w:rPr>
          <w:rFonts w:eastAsia="Times New Roman"/>
          <w:b/>
          <w:bCs/>
          <w:sz w:val="32"/>
          <w:szCs w:val="32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C5785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- 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C57850" w:rsidRDefault="00EE1960" w:rsidP="00C57850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proofErr w:type="spellEnd"/>
          </w:p>
          <w:p w:rsidR="007E11C3" w:rsidRDefault="00E62045" w:rsidP="00C578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  <w:r w:rsidR="00C57850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 w:rsidTr="00C57850">
        <w:trPr>
          <w:trHeight w:val="123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C5785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C57850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C578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7E11C3" w:rsidP="00EE1960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C57850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57850" w:rsidRDefault="00C5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питанию», «Поговорим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правильном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C57850" w:rsidRDefault="00C578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C57850" w:rsidRDefault="00C57850" w:rsidP="004D11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по</w:t>
            </w:r>
          </w:p>
        </w:tc>
      </w:tr>
      <w:tr w:rsidR="00C57850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57850" w:rsidRDefault="00C5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57850" w:rsidRDefault="00C578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57850" w:rsidRDefault="00C57850" w:rsidP="004D1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C57850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C57850" w:rsidRDefault="00C57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57850" w:rsidRDefault="00C57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57850" w:rsidRDefault="00C578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0D4D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C57850">
            <w:pPr>
              <w:spacing w:line="318" w:lineRule="exact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C578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0D4D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324E4" w:rsidRDefault="00EE196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C57850">
              <w:rPr>
                <w:rFonts w:eastAsia="Times New Roman"/>
                <w:sz w:val="28"/>
                <w:szCs w:val="28"/>
              </w:rPr>
              <w:t>емонт и техническое обслуживание оборудования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C57850" w:rsidP="00C57850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Рабочий по текущему ремонту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C5785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5785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 w:rsidP="00C5785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5785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0D4D2B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Pr="002B391D" w:rsidRDefault="000D4D2B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w:pict>
          <v:rect id="Shape 14" o:spid="_x0000_s1038" style="position:absolute;margin-left:269.05pt;margin-top:-722.15pt;width:1.05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0D4D2B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1C3"/>
    <w:rsid w:val="000D4D2B"/>
    <w:rsid w:val="002B391D"/>
    <w:rsid w:val="002D7F2F"/>
    <w:rsid w:val="0062792E"/>
    <w:rsid w:val="0075249F"/>
    <w:rsid w:val="007E11C3"/>
    <w:rsid w:val="00BF2F63"/>
    <w:rsid w:val="00C57850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B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STP</cp:lastModifiedBy>
  <cp:revision>2</cp:revision>
  <cp:lastPrinted>2020-09-02T11:35:00Z</cp:lastPrinted>
  <dcterms:created xsi:type="dcterms:W3CDTF">2020-09-02T11:51:00Z</dcterms:created>
  <dcterms:modified xsi:type="dcterms:W3CDTF">2020-09-02T11:51:00Z</dcterms:modified>
</cp:coreProperties>
</file>